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A3570" w:rsidRDefault="0025106C" w:rsidP="00F37D7B">
      <w:pPr>
        <w:pStyle w:val="af2"/>
      </w:pPr>
      <w:r w:rsidRPr="00FA3570">
        <w:rPr>
          <w:rFonts w:hint="eastAsia"/>
        </w:rPr>
        <w:t>糾正案文</w:t>
      </w:r>
    </w:p>
    <w:p w:rsidR="00E25849" w:rsidRPr="00FA3570" w:rsidRDefault="0025106C" w:rsidP="00F231DC">
      <w:pPr>
        <w:pStyle w:val="1"/>
      </w:pPr>
      <w:r w:rsidRPr="00FA3570">
        <w:rPr>
          <w:rFonts w:hint="eastAsia"/>
        </w:rPr>
        <w:t>被糾正機關：</w:t>
      </w:r>
      <w:r w:rsidR="00B13F45" w:rsidRPr="00FA3570">
        <w:rPr>
          <w:rFonts w:hint="eastAsia"/>
        </w:rPr>
        <w:t>教育部</w:t>
      </w:r>
      <w:r w:rsidRPr="00FA3570">
        <w:rPr>
          <w:rFonts w:hint="eastAsia"/>
        </w:rPr>
        <w:t>。</w:t>
      </w:r>
    </w:p>
    <w:p w:rsidR="00E25849" w:rsidRPr="00FA3570" w:rsidRDefault="0025106C" w:rsidP="00EC4B15">
      <w:pPr>
        <w:pStyle w:val="1"/>
        <w:ind w:left="2608" w:hanging="2608"/>
      </w:pPr>
      <w:r w:rsidRPr="00FA3570">
        <w:rPr>
          <w:rFonts w:hint="eastAsia"/>
        </w:rPr>
        <w:t>案　　　由：</w:t>
      </w:r>
      <w:r w:rsidR="00AB636C" w:rsidRPr="00FA3570">
        <w:rPr>
          <w:rFonts w:hint="eastAsia"/>
        </w:rPr>
        <w:t>教育部於102年修正放寬「大學法」之授權法規「</w:t>
      </w:r>
      <w:r w:rsidR="00AB636C" w:rsidRPr="00FA3570">
        <w:t>入學大學同等學力認定標準</w:t>
      </w:r>
      <w:r w:rsidR="00AB636C" w:rsidRPr="00FA3570">
        <w:rPr>
          <w:rFonts w:hint="eastAsia"/>
        </w:rPr>
        <w:t>」，令大學得經特定程序招收「專業領域具卓越成就表現者」入學，此即謂「吳寶春條款」。</w:t>
      </w:r>
      <w:r w:rsidR="00FF07B4" w:rsidRPr="00FA3570">
        <w:rPr>
          <w:rFonts w:hint="eastAsia"/>
          <w:bCs w:val="0"/>
        </w:rPr>
        <w:t>在大專校院未能嚴格把關之情形下，吳寶春條款產生「大學入學考試過於寬鬆或學位授予涉及違反學術倫理」等爭議，已嚴重打擊高等教育形象，教育部卻</w:t>
      </w:r>
      <w:r w:rsidR="00FF07B4">
        <w:rPr>
          <w:rFonts w:hint="eastAsia"/>
          <w:bCs w:val="0"/>
        </w:rPr>
        <w:t>僅</w:t>
      </w:r>
      <w:r w:rsidR="00FF07B4" w:rsidRPr="00FA3570">
        <w:rPr>
          <w:rFonts w:hint="eastAsia"/>
          <w:bCs w:val="0"/>
        </w:rPr>
        <w:t>採取被動、事後查處，以及於「教學品質查核作業」時「抽查」學校資料一併注意等作法，對於吳寶春條款實況之掌握態度消極，</w:t>
      </w:r>
      <w:r w:rsidR="00AB636C" w:rsidRPr="00FA3570">
        <w:rPr>
          <w:rFonts w:hint="eastAsia"/>
        </w:rPr>
        <w:t>致高等教育品質承受傷害風險；復以，</w:t>
      </w:r>
      <w:r w:rsidR="00737550" w:rsidRPr="00FA3570">
        <w:rPr>
          <w:rFonts w:hint="eastAsia"/>
        </w:rPr>
        <w:t>現行法制雖已賦予「專業實務碩士學生得提出替代性論文取代學術論文」之空間，</w:t>
      </w:r>
      <w:r w:rsidR="00CC7EF0" w:rsidRPr="00FA3570">
        <w:rPr>
          <w:rFonts w:hint="eastAsia"/>
        </w:rPr>
        <w:t>期</w:t>
      </w:r>
      <w:r w:rsidR="00737550" w:rsidRPr="00FA3570">
        <w:rPr>
          <w:rFonts w:hint="eastAsia"/>
        </w:rPr>
        <w:t>反映碩士學位特殊屬性之差異，惟教育部</w:t>
      </w:r>
      <w:r w:rsidR="00AB636C" w:rsidRPr="00FA3570">
        <w:rPr>
          <w:rFonts w:hint="eastAsia"/>
        </w:rPr>
        <w:t>對於</w:t>
      </w:r>
      <w:r w:rsidR="00737550" w:rsidRPr="00FA3570">
        <w:rPr>
          <w:rFonts w:hint="eastAsia"/>
        </w:rPr>
        <w:t>「</w:t>
      </w:r>
      <w:r w:rsidR="00AB636C" w:rsidRPr="00FA3570">
        <w:rPr>
          <w:rFonts w:hint="eastAsia"/>
        </w:rPr>
        <w:t>吳寶春條款碩士學生以學術論文畢業者，整體高達89.21%，且技專校院替代性論文占比僅1.96%，甚至低於一般大學；公立技專校院262名吳寶春條款學生，竟全數撰寫學術論文、替代性論文比率為零</w:t>
      </w:r>
      <w:r w:rsidR="00737550" w:rsidRPr="00FA3570">
        <w:rPr>
          <w:rFonts w:hint="eastAsia"/>
        </w:rPr>
        <w:t>」</w:t>
      </w:r>
      <w:r w:rsidR="00AB636C" w:rsidRPr="00FA3570">
        <w:rPr>
          <w:rFonts w:hint="eastAsia"/>
        </w:rPr>
        <w:t>等不合理現象，</w:t>
      </w:r>
      <w:r w:rsidR="00CC7EF0" w:rsidRPr="00FA3570">
        <w:rPr>
          <w:rFonts w:hint="eastAsia"/>
        </w:rPr>
        <w:t>竟於監察院立案調查後始予注意並開始研處，實有負其高等教育政策主管機關職責</w:t>
      </w:r>
      <w:r w:rsidR="00737550" w:rsidRPr="00FA3570">
        <w:rPr>
          <w:rFonts w:hint="eastAsia"/>
        </w:rPr>
        <w:t>，</w:t>
      </w:r>
      <w:r w:rsidR="00B44BDD" w:rsidRPr="00FA3570">
        <w:rPr>
          <w:rFonts w:hint="eastAsia"/>
        </w:rPr>
        <w:t>核有違失</w:t>
      </w:r>
      <w:r w:rsidR="009E57EC" w:rsidRPr="00FA3570">
        <w:rPr>
          <w:rFonts w:hint="eastAsia"/>
        </w:rPr>
        <w:t>，</w:t>
      </w:r>
      <w:r w:rsidR="008B4841" w:rsidRPr="00FA3570">
        <w:rPr>
          <w:rFonts w:hint="eastAsia"/>
        </w:rPr>
        <w:t>爰依法提案糾正</w:t>
      </w:r>
      <w:r w:rsidR="00737550" w:rsidRPr="00FA3570">
        <w:rPr>
          <w:rFonts w:hint="eastAsia"/>
        </w:rPr>
        <w:t>。</w:t>
      </w:r>
    </w:p>
    <w:p w:rsidR="00E25849" w:rsidRPr="00FA3570"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A3570">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B3E0B" w:rsidRPr="00FA3570" w:rsidRDefault="006B3E0B" w:rsidP="003A5B7B">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A3570">
        <w:rPr>
          <w:rFonts w:hint="eastAsia"/>
        </w:rPr>
        <w:t>102年間我國知名</w:t>
      </w:r>
      <w:r w:rsidRPr="00FA3570">
        <w:t>麵包師傅吳寶春</w:t>
      </w:r>
      <w:r w:rsidRPr="00FA3570">
        <w:rPr>
          <w:rFonts w:hint="eastAsia"/>
        </w:rPr>
        <w:t>先生受限於大學招生法規，無法報考</w:t>
      </w:r>
      <w:r w:rsidRPr="00FA3570">
        <w:t>國內大學EMBA</w:t>
      </w:r>
      <w:r w:rsidRPr="00FA3570">
        <w:rPr>
          <w:rFonts w:hint="eastAsia"/>
        </w:rPr>
        <w:t>，遠赴新加坡就學一</w:t>
      </w:r>
      <w:r w:rsidRPr="00FA3570">
        <w:rPr>
          <w:rFonts w:hint="eastAsia"/>
        </w:rPr>
        <w:lastRenderedPageBreak/>
        <w:t>事</w:t>
      </w:r>
      <w:r w:rsidR="00423DEF" w:rsidRPr="00FA3570">
        <w:rPr>
          <w:rStyle w:val="afd"/>
        </w:rPr>
        <w:footnoteReference w:id="1"/>
      </w:r>
      <w:r w:rsidRPr="00FA3570">
        <w:rPr>
          <w:rFonts w:hint="eastAsia"/>
        </w:rPr>
        <w:t>，促成「</w:t>
      </w:r>
      <w:r w:rsidRPr="00FA3570">
        <w:t>入學大學同等學力認定標準</w:t>
      </w:r>
      <w:r w:rsidRPr="00FA3570">
        <w:rPr>
          <w:rFonts w:hint="eastAsia"/>
        </w:rPr>
        <w:t>」修正</w:t>
      </w:r>
      <w:r w:rsidR="00423DEF" w:rsidRPr="00FA3570">
        <w:rPr>
          <w:rStyle w:val="afd"/>
        </w:rPr>
        <w:footnoteReference w:id="2"/>
      </w:r>
      <w:r w:rsidRPr="00FA3570">
        <w:rPr>
          <w:rFonts w:hint="eastAsia"/>
        </w:rPr>
        <w:t>，放寬大學得招收「專業領域具卓越成就表現者」入學，</w:t>
      </w:r>
      <w:r w:rsidR="00AB636C" w:rsidRPr="00FA3570">
        <w:rPr>
          <w:rFonts w:hint="eastAsia"/>
        </w:rPr>
        <w:t>「吳寶春條款」</w:t>
      </w:r>
      <w:r w:rsidRPr="00FA3570">
        <w:rPr>
          <w:rFonts w:hint="eastAsia"/>
        </w:rPr>
        <w:t>是大學多元開放的一環。</w:t>
      </w:r>
      <w:proofErr w:type="gramStart"/>
      <w:r w:rsidRPr="00FA3570">
        <w:rPr>
          <w:rFonts w:hint="eastAsia"/>
        </w:rPr>
        <w:t>詎</w:t>
      </w:r>
      <w:proofErr w:type="gramEnd"/>
      <w:r w:rsidRPr="00FA3570">
        <w:rPr>
          <w:rFonts w:hint="eastAsia"/>
        </w:rPr>
        <w:t>民國(下同)111年8月間，媒體報導指出</w:t>
      </w:r>
      <w:r w:rsidRPr="00FA3570">
        <w:t>南投縣議會議長，利用「吳寶春條款」，僅國小學歷竟然4年拿到碩士，</w:t>
      </w:r>
      <w:r w:rsidRPr="00FA3570">
        <w:rPr>
          <w:rFonts w:hint="eastAsia"/>
        </w:rPr>
        <w:t>且</w:t>
      </w:r>
      <w:r w:rsidRPr="00FA3570">
        <w:t>碩士論文</w:t>
      </w:r>
      <w:r w:rsidRPr="00FA3570">
        <w:rPr>
          <w:rFonts w:hint="eastAsia"/>
        </w:rPr>
        <w:t>疑涉</w:t>
      </w:r>
      <w:r w:rsidRPr="00FA3570">
        <w:t>抄襲</w:t>
      </w:r>
      <w:r w:rsidRPr="00FA3570">
        <w:rPr>
          <w:rFonts w:hint="eastAsia"/>
        </w:rPr>
        <w:t>問題；對此，本院立案調查後</w:t>
      </w:r>
      <w:r w:rsidRPr="00FA3570">
        <w:rPr>
          <w:rFonts w:ascii="Times New Roman" w:hint="eastAsia"/>
        </w:rPr>
        <w:t>發現</w:t>
      </w:r>
      <w:r w:rsidR="00CC7EF0" w:rsidRPr="00FA3570">
        <w:rPr>
          <w:rFonts w:ascii="Times New Roman" w:hint="eastAsia"/>
        </w:rPr>
        <w:t>教育部</w:t>
      </w:r>
      <w:r w:rsidRPr="00FA3570">
        <w:rPr>
          <w:rFonts w:hint="eastAsia"/>
          <w:bCs/>
        </w:rPr>
        <w:t>確有違失，應予糾正促其注意改善。茲</w:t>
      </w:r>
      <w:proofErr w:type="gramStart"/>
      <w:r w:rsidRPr="00FA3570">
        <w:rPr>
          <w:rFonts w:hint="eastAsia"/>
          <w:bCs/>
        </w:rPr>
        <w:t>臚</w:t>
      </w:r>
      <w:proofErr w:type="gramEnd"/>
      <w:r w:rsidRPr="00FA3570">
        <w:rPr>
          <w:rFonts w:hint="eastAsia"/>
          <w:bCs/>
        </w:rPr>
        <w:t>列事實與理由如下</w:t>
      </w:r>
      <w:r w:rsidRPr="00FA3570">
        <w:rPr>
          <w:rFonts w:hAnsi="標楷體" w:hint="eastAsia"/>
          <w:spacing w:val="-6"/>
        </w:rPr>
        <w:t>：</w:t>
      </w:r>
    </w:p>
    <w:p w:rsidR="00B83C6B" w:rsidRPr="00FA3570" w:rsidRDefault="00B83C6B" w:rsidP="003A5B7B">
      <w:pPr>
        <w:pStyle w:val="10"/>
        <w:ind w:left="680" w:firstLine="656"/>
        <w:rPr>
          <w:rFonts w:hAnsi="標楷體"/>
          <w:spacing w:val="-6"/>
        </w:rPr>
      </w:pPr>
    </w:p>
    <w:p w:rsidR="004B3EAD" w:rsidRPr="00FA3570" w:rsidRDefault="004C2D7C" w:rsidP="004B3EAD">
      <w:pPr>
        <w:pStyle w:val="2"/>
        <w:numPr>
          <w:ilvl w:val="1"/>
          <w:numId w:val="1"/>
        </w:numPr>
        <w:ind w:left="1106"/>
        <w:rPr>
          <w:b w:val="0"/>
        </w:rPr>
      </w:pPr>
      <w:bookmarkStart w:id="41" w:name="_Toc135055433"/>
      <w:bookmarkStart w:id="42" w:name="_Toc130291994"/>
      <w:r w:rsidRPr="00FA3570">
        <w:rPr>
          <w:rFonts w:hint="eastAsia"/>
          <w:bCs w:val="0"/>
        </w:rPr>
        <w:t>依教育部最新之統計，現有43所一般大學、</w:t>
      </w:r>
      <w:proofErr w:type="gramStart"/>
      <w:r w:rsidRPr="00FA3570">
        <w:rPr>
          <w:rFonts w:hint="eastAsia"/>
          <w:bCs w:val="0"/>
        </w:rPr>
        <w:t>37所技</w:t>
      </w:r>
      <w:proofErr w:type="gramEnd"/>
      <w:r w:rsidRPr="00FA3570">
        <w:rPr>
          <w:rFonts w:hint="eastAsia"/>
          <w:bCs w:val="0"/>
        </w:rPr>
        <w:t>專校院適用吳寶春條款，並以招收碩士班學生為</w:t>
      </w:r>
      <w:proofErr w:type="gramStart"/>
      <w:r w:rsidRPr="00FA3570">
        <w:rPr>
          <w:rFonts w:hint="eastAsia"/>
          <w:bCs w:val="0"/>
        </w:rPr>
        <w:t>大宗</w:t>
      </w:r>
      <w:proofErr w:type="gramEnd"/>
      <w:r w:rsidRPr="00FA3570">
        <w:rPr>
          <w:rFonts w:hint="eastAsia"/>
          <w:bCs w:val="0"/>
        </w:rPr>
        <w:t>，且4</w:t>
      </w:r>
      <w:r w:rsidRPr="00FA3570">
        <w:rPr>
          <w:bCs w:val="0"/>
        </w:rPr>
        <w:t>,</w:t>
      </w:r>
      <w:r w:rsidRPr="00FA3570">
        <w:rPr>
          <w:rFonts w:hint="eastAsia"/>
          <w:bCs w:val="0"/>
        </w:rPr>
        <w:t>301名碩士階段的吳寶春條款學生，有3</w:t>
      </w:r>
      <w:r w:rsidRPr="00FA3570">
        <w:rPr>
          <w:bCs w:val="0"/>
        </w:rPr>
        <w:t>,</w:t>
      </w:r>
      <w:r w:rsidRPr="00FA3570">
        <w:rPr>
          <w:rFonts w:hint="eastAsia"/>
          <w:bCs w:val="0"/>
        </w:rPr>
        <w:t>395人之入學前最高學歷為「高中職」，占78.9%、有50人之入學前最高學歷為「國小」，占1.16%；</w:t>
      </w:r>
      <w:r w:rsidR="00066481" w:rsidRPr="00FA3570">
        <w:rPr>
          <w:rFonts w:hint="eastAsia"/>
          <w:bCs w:val="0"/>
        </w:rPr>
        <w:t>顯見，「吳寶春條款」提供專業領域具卓越成就者接受高等教育以精進、提昇之機會，符合促進國人終身學習，大學多元開放的理念，其立法</w:t>
      </w:r>
      <w:r w:rsidR="00427FDA">
        <w:rPr>
          <w:rFonts w:hint="eastAsia"/>
          <w:bCs w:val="0"/>
        </w:rPr>
        <w:t>意旨</w:t>
      </w:r>
      <w:r w:rsidR="00066481" w:rsidRPr="00FA3570">
        <w:rPr>
          <w:rFonts w:hint="eastAsia"/>
          <w:bCs w:val="0"/>
        </w:rPr>
        <w:t>意義深遠。然而，在大專校院未能嚴格把關之情形下，吳寶春條款產生「大學入學考試過於寬鬆或學位授予涉及違反學術倫理」等爭議，已嚴重打擊高等教育形象，教育部卻</w:t>
      </w:r>
      <w:r w:rsidR="00436879">
        <w:rPr>
          <w:rFonts w:hint="eastAsia"/>
          <w:bCs w:val="0"/>
        </w:rPr>
        <w:t>僅</w:t>
      </w:r>
      <w:r w:rsidR="00066481" w:rsidRPr="00FA3570">
        <w:rPr>
          <w:rFonts w:hint="eastAsia"/>
          <w:bCs w:val="0"/>
        </w:rPr>
        <w:t>採取被動、事後查處，以及於「教學品質查核作業」時「抽查」學校資料一併注意等作法，對於吳寶春條款實況之掌握態度消極，致高等教育品質承受傷害風險，核有</w:t>
      </w:r>
      <w:proofErr w:type="gramStart"/>
      <w:r w:rsidR="00066481" w:rsidRPr="00FA3570">
        <w:rPr>
          <w:rFonts w:hint="eastAsia"/>
          <w:bCs w:val="0"/>
        </w:rPr>
        <w:t>怠</w:t>
      </w:r>
      <w:proofErr w:type="gramEnd"/>
      <w:r w:rsidR="00066481" w:rsidRPr="00FA3570">
        <w:rPr>
          <w:rFonts w:hint="eastAsia"/>
          <w:bCs w:val="0"/>
        </w:rPr>
        <w:lastRenderedPageBreak/>
        <w:t>失</w:t>
      </w:r>
      <w:r w:rsidR="004B3EAD" w:rsidRPr="00FA3570">
        <w:rPr>
          <w:rFonts w:hint="eastAsia"/>
        </w:rPr>
        <w:t>。</w:t>
      </w:r>
      <w:bookmarkEnd w:id="41"/>
    </w:p>
    <w:p w:rsidR="004B3EAD" w:rsidRPr="00FA3570" w:rsidRDefault="004B3EAD" w:rsidP="004B3EAD">
      <w:pPr>
        <w:pStyle w:val="3"/>
        <w:numPr>
          <w:ilvl w:val="2"/>
          <w:numId w:val="1"/>
        </w:numPr>
      </w:pPr>
      <w:bookmarkStart w:id="43" w:name="_Toc135055434"/>
      <w:r w:rsidRPr="00FA3570">
        <w:rPr>
          <w:rFonts w:hint="eastAsia"/>
        </w:rPr>
        <w:t>關於入學大學之學生資格，在「大學法」中(第23條參照)，蓋分為「前一階段學制之學校畢業且經大學入學試驗及格」以及「具有『同等學力』且經大學入學試驗及格」二類。故教育部據大學法之授權，另定「</w:t>
      </w:r>
      <w:r w:rsidRPr="00FA3570">
        <w:t>入學大學同等學力認定標準</w:t>
      </w:r>
      <w:r w:rsidRPr="00FA3570">
        <w:rPr>
          <w:rFonts w:hint="eastAsia"/>
        </w:rPr>
        <w:t>」。</w:t>
      </w:r>
      <w:bookmarkEnd w:id="43"/>
    </w:p>
    <w:p w:rsidR="004B3EAD" w:rsidRPr="00FA3570" w:rsidRDefault="00423DEF" w:rsidP="004B3EAD">
      <w:pPr>
        <w:pStyle w:val="3"/>
        <w:numPr>
          <w:ilvl w:val="2"/>
          <w:numId w:val="1"/>
        </w:numPr>
      </w:pPr>
      <w:bookmarkStart w:id="44" w:name="_Toc135055436"/>
      <w:r w:rsidRPr="00FA3570">
        <w:rPr>
          <w:rFonts w:hint="eastAsia"/>
        </w:rPr>
        <w:t>據教育部表示：「</w:t>
      </w:r>
      <w:r w:rsidRPr="00FA3570">
        <w:rPr>
          <w:rFonts w:hint="eastAsia"/>
          <w:bCs w:val="0"/>
        </w:rPr>
        <w:t>『</w:t>
      </w:r>
      <w:r w:rsidRPr="00FA3570">
        <w:rPr>
          <w:bCs w:val="0"/>
        </w:rPr>
        <w:t>入學大學同等學力認定標準之立法意旨，係針對未取得各學制之畢業證書者，可依</w:t>
      </w:r>
      <w:r w:rsidRPr="00FA3570">
        <w:rPr>
          <w:rFonts w:hint="eastAsia"/>
          <w:bCs w:val="0"/>
        </w:rPr>
        <w:t>該</w:t>
      </w:r>
      <w:r w:rsidRPr="00FA3570">
        <w:rPr>
          <w:bCs w:val="0"/>
        </w:rPr>
        <w:t>標準所定資格，認定為是否具報考大學學士班、大學二年制學士班、碩士班或博士班一年級新生入學考試資格。</w:t>
      </w:r>
      <w:r w:rsidRPr="00FA3570">
        <w:rPr>
          <w:rFonts w:hint="eastAsia"/>
          <w:bCs w:val="0"/>
        </w:rPr>
        <w:t>故該</w:t>
      </w:r>
      <w:r w:rsidRPr="00FA3570">
        <w:rPr>
          <w:bCs w:val="0"/>
        </w:rPr>
        <w:t>標準第7條</w:t>
      </w:r>
      <w:r w:rsidRPr="00FA3570">
        <w:rPr>
          <w:rFonts w:hint="eastAsia"/>
          <w:bCs w:val="0"/>
        </w:rPr>
        <w:t>(即所謂吳寶春條款)</w:t>
      </w:r>
      <w:r w:rsidRPr="00FA3570">
        <w:rPr>
          <w:bCs w:val="0"/>
        </w:rPr>
        <w:t>，係基於鼓勵終身學習</w:t>
      </w:r>
      <w:r w:rsidRPr="00FA3570">
        <w:rPr>
          <w:rFonts w:hint="eastAsia"/>
        </w:rPr>
        <w:t>」</w:t>
      </w:r>
      <w:r w:rsidRPr="00FA3570">
        <w:rPr>
          <w:rFonts w:hint="eastAsia"/>
          <w:bCs w:val="0"/>
        </w:rPr>
        <w:t>。另</w:t>
      </w:r>
      <w:r w:rsidR="00F908A0" w:rsidRPr="00FA3570">
        <w:rPr>
          <w:rFonts w:hint="eastAsia"/>
          <w:bCs w:val="0"/>
        </w:rPr>
        <w:t>教育部說明，</w:t>
      </w:r>
      <w:r w:rsidRPr="00FA3570">
        <w:rPr>
          <w:rFonts w:hint="eastAsia"/>
        </w:rPr>
        <w:t>「吳寶春條款」102年上路後，符合「1.</w:t>
      </w:r>
      <w:r w:rsidRPr="00FA3570">
        <w:t>獲</w:t>
      </w:r>
      <w:r w:rsidRPr="00FA3570">
        <w:rPr>
          <w:rFonts w:hint="eastAsia"/>
          <w:bCs w:val="0"/>
        </w:rPr>
        <w:t>教育</w:t>
      </w:r>
      <w:r w:rsidRPr="00FA3570">
        <w:t>部邁向頂尖大學計畫補助</w:t>
      </w:r>
      <w:r w:rsidRPr="00FA3570">
        <w:rPr>
          <w:rFonts w:hint="eastAsia"/>
        </w:rPr>
        <w:t>；2.</w:t>
      </w:r>
      <w:r w:rsidRPr="00FA3570">
        <w:t>曾獲</w:t>
      </w:r>
      <w:r w:rsidRPr="00FA3570">
        <w:rPr>
          <w:rFonts w:hint="eastAsia"/>
          <w:bCs w:val="0"/>
        </w:rPr>
        <w:t>教育</w:t>
      </w:r>
      <w:r w:rsidRPr="00FA3570">
        <w:t>部4年以上獎勵大學校院教學卓越計畫補助，且獲補助金額總計達新臺幣2億元以上</w:t>
      </w:r>
      <w:r w:rsidRPr="00FA3570">
        <w:rPr>
          <w:rFonts w:hint="eastAsia"/>
        </w:rPr>
        <w:t>；3.</w:t>
      </w:r>
      <w:r w:rsidRPr="00FA3570">
        <w:t>最近一次</w:t>
      </w:r>
      <w:r w:rsidRPr="00FA3570">
        <w:rPr>
          <w:rFonts w:hint="eastAsia"/>
          <w:bCs w:val="0"/>
        </w:rPr>
        <w:t>教育</w:t>
      </w:r>
      <w:r w:rsidRPr="00FA3570">
        <w:t>部主辦或委辦之綜合評鑑行政類成績為一等，且一等院系所占全校受評院系所80%以上</w:t>
      </w:r>
      <w:r w:rsidRPr="00FA3570">
        <w:rPr>
          <w:rFonts w:hint="eastAsia"/>
        </w:rPr>
        <w:t>；4.</w:t>
      </w:r>
      <w:r w:rsidRPr="00FA3570">
        <w:t>曾獲</w:t>
      </w:r>
      <w:r w:rsidRPr="00FA3570">
        <w:rPr>
          <w:rFonts w:hint="eastAsia"/>
          <w:bCs w:val="0"/>
        </w:rPr>
        <w:t>教育</w:t>
      </w:r>
      <w:r w:rsidRPr="00FA3570">
        <w:t>部典範科技大學計畫補助</w:t>
      </w:r>
      <w:r w:rsidRPr="00FA3570">
        <w:rPr>
          <w:rFonts w:hint="eastAsia"/>
        </w:rPr>
        <w:t>；5.</w:t>
      </w:r>
      <w:r w:rsidRPr="00FA3570">
        <w:t>曾獲</w:t>
      </w:r>
      <w:r w:rsidRPr="00FA3570">
        <w:rPr>
          <w:rFonts w:hint="eastAsia"/>
          <w:bCs w:val="0"/>
        </w:rPr>
        <w:t>教育</w:t>
      </w:r>
      <w:r w:rsidRPr="00FA3570">
        <w:t>部4年以上獎勵科技大學及技術學院教學卓越計畫補助，且獲補助金額總計達新臺幣2億元以上</w:t>
      </w:r>
      <w:r w:rsidRPr="00FA3570">
        <w:rPr>
          <w:rFonts w:hint="eastAsia"/>
        </w:rPr>
        <w:t>」等條件之</w:t>
      </w:r>
      <w:proofErr w:type="gramStart"/>
      <w:r w:rsidRPr="00FA3570">
        <w:rPr>
          <w:rFonts w:hint="eastAsia"/>
        </w:rPr>
        <w:t>一</w:t>
      </w:r>
      <w:proofErr w:type="gramEnd"/>
      <w:r w:rsidRPr="00FA3570">
        <w:rPr>
          <w:rFonts w:hint="eastAsia"/>
        </w:rPr>
        <w:t>並經教育同意的學校，即得依此條款辦理招生；同時，教育部</w:t>
      </w:r>
      <w:r w:rsidRPr="00FA3570">
        <w:rPr>
          <w:bCs w:val="0"/>
        </w:rPr>
        <w:t>以102年4月29日</w:t>
      </w:r>
      <w:proofErr w:type="gramStart"/>
      <w:r w:rsidRPr="00FA3570">
        <w:rPr>
          <w:bCs w:val="0"/>
        </w:rPr>
        <w:t>臺</w:t>
      </w:r>
      <w:proofErr w:type="gramEnd"/>
      <w:r w:rsidRPr="00FA3570">
        <w:rPr>
          <w:bCs w:val="0"/>
        </w:rPr>
        <w:t>教</w:t>
      </w:r>
      <w:proofErr w:type="gramStart"/>
      <w:r w:rsidRPr="00FA3570">
        <w:rPr>
          <w:bCs w:val="0"/>
        </w:rPr>
        <w:t>高通字第1020058869</w:t>
      </w:r>
      <w:proofErr w:type="gramEnd"/>
      <w:r w:rsidRPr="00FA3570">
        <w:rPr>
          <w:bCs w:val="0"/>
        </w:rPr>
        <w:t>號函提醒符合</w:t>
      </w:r>
      <w:proofErr w:type="gramStart"/>
      <w:r w:rsidRPr="00FA3570">
        <w:rPr>
          <w:bCs w:val="0"/>
        </w:rPr>
        <w:t>前開經</w:t>
      </w:r>
      <w:r w:rsidRPr="00FA3570">
        <w:rPr>
          <w:rFonts w:hint="eastAsia"/>
          <w:bCs w:val="0"/>
        </w:rPr>
        <w:t>教育</w:t>
      </w:r>
      <w:proofErr w:type="gramEnd"/>
      <w:r w:rsidRPr="00FA3570">
        <w:rPr>
          <w:bCs w:val="0"/>
        </w:rPr>
        <w:t>部核可之大學</w:t>
      </w:r>
      <w:r w:rsidRPr="00FA3570">
        <w:rPr>
          <w:rFonts w:hint="eastAsia"/>
          <w:bCs w:val="0"/>
        </w:rPr>
        <w:t>略以：</w:t>
      </w:r>
      <w:r w:rsidRPr="00FA3570">
        <w:rPr>
          <w:bCs w:val="0"/>
        </w:rPr>
        <w:t>相關</w:t>
      </w:r>
      <w:proofErr w:type="gramStart"/>
      <w:r w:rsidRPr="00FA3570">
        <w:rPr>
          <w:bCs w:val="0"/>
        </w:rPr>
        <w:t>學系欲招收</w:t>
      </w:r>
      <w:proofErr w:type="gramEnd"/>
      <w:r w:rsidRPr="00FA3570">
        <w:rPr>
          <w:rFonts w:hint="eastAsia"/>
          <w:bCs w:val="0"/>
        </w:rPr>
        <w:t>以</w:t>
      </w:r>
      <w:r w:rsidRPr="00FA3570">
        <w:rPr>
          <w:bCs w:val="0"/>
        </w:rPr>
        <w:t>「</w:t>
      </w:r>
      <w:r w:rsidRPr="00FA3570">
        <w:rPr>
          <w:rFonts w:hint="eastAsia"/>
          <w:bCs w:val="0"/>
        </w:rPr>
        <w:t>吳寶春條款</w:t>
      </w:r>
      <w:r w:rsidRPr="00FA3570">
        <w:rPr>
          <w:bCs w:val="0"/>
        </w:rPr>
        <w:t>」</w:t>
      </w:r>
      <w:r w:rsidRPr="00FA3570">
        <w:rPr>
          <w:rFonts w:hint="eastAsia"/>
          <w:bCs w:val="0"/>
        </w:rPr>
        <w:t>入學者(</w:t>
      </w:r>
      <w:r w:rsidRPr="00FA3570">
        <w:rPr>
          <w:rFonts w:hAnsi="標楷體" w:hint="eastAsia"/>
          <w:spacing w:val="-6"/>
          <w:szCs w:val="32"/>
        </w:rPr>
        <w:t>下稱吳寶春條款學生</w:t>
      </w:r>
      <w:r w:rsidRPr="00FA3570">
        <w:rPr>
          <w:rFonts w:hint="eastAsia"/>
          <w:bCs w:val="0"/>
        </w:rPr>
        <w:t>)之</w:t>
      </w:r>
      <w:r w:rsidRPr="00FA3570">
        <w:rPr>
          <w:bCs w:val="0"/>
        </w:rPr>
        <w:t>前，應先將擬招收對象之資格條件、審查方式、招收人數上限、報名應檢附證明文件，及入學後之輔導機制提報校級招生委員會審議通過後，始得納入簡章</w:t>
      </w:r>
      <w:r w:rsidRPr="00FA3570">
        <w:rPr>
          <w:rFonts w:hint="eastAsia"/>
          <w:bCs w:val="0"/>
        </w:rPr>
        <w:t>；</w:t>
      </w:r>
      <w:r w:rsidRPr="00FA3570">
        <w:rPr>
          <w:bCs w:val="0"/>
        </w:rPr>
        <w:t>該類別學生報名後，學校應將其相關證明文件提交校級招生委員會審議確認後，始得同意報考。</w:t>
      </w:r>
      <w:bookmarkEnd w:id="44"/>
    </w:p>
    <w:p w:rsidR="004B3EAD" w:rsidRPr="00FA3570" w:rsidRDefault="004B3EAD" w:rsidP="004B3EAD">
      <w:pPr>
        <w:pStyle w:val="3"/>
        <w:numPr>
          <w:ilvl w:val="2"/>
          <w:numId w:val="1"/>
        </w:numPr>
      </w:pPr>
      <w:bookmarkStart w:id="45" w:name="_Toc135055437"/>
      <w:r w:rsidRPr="00FA3570">
        <w:rPr>
          <w:rFonts w:hint="eastAsia"/>
          <w:bCs w:val="0"/>
        </w:rPr>
        <w:lastRenderedPageBreak/>
        <w:t>除前述「</w:t>
      </w:r>
      <w:r w:rsidRPr="00FA3570">
        <w:rPr>
          <w:bCs w:val="0"/>
        </w:rPr>
        <w:t>鼓勵終身學習</w:t>
      </w:r>
      <w:r w:rsidRPr="00FA3570">
        <w:rPr>
          <w:rFonts w:hint="eastAsia"/>
          <w:bCs w:val="0"/>
        </w:rPr>
        <w:t>」之立法意旨外，大學得以吳寶春學生條款招生，亦是尊重大學選才需求之作法，不啻為大學自治之實踐。基此，吳寶春條款學生入學前相關基本資料，包含年齡、薪資水準、專業卓越表現證明等，係由各大學依其系所選才標準自行認定，並依規定就專業領域具卓越成就表現者，經校級或聯合招生委員會審議通過，得准其以同等學力報考新生入學考試專業卓越表現證明與修業情形等資料，由大學掌握，教育部並無相關資料。</w:t>
      </w:r>
      <w:bookmarkEnd w:id="45"/>
    </w:p>
    <w:p w:rsidR="004B3EAD" w:rsidRPr="00FA3570" w:rsidRDefault="004B3EAD" w:rsidP="004B3EAD">
      <w:pPr>
        <w:pStyle w:val="3"/>
        <w:numPr>
          <w:ilvl w:val="2"/>
          <w:numId w:val="1"/>
        </w:numPr>
      </w:pPr>
      <w:bookmarkStart w:id="46" w:name="_Toc135055438"/>
      <w:r w:rsidRPr="00FA3570">
        <w:rPr>
          <w:rFonts w:hint="eastAsia"/>
          <w:bCs w:val="0"/>
        </w:rPr>
        <w:t>監察院立案調查之後，教育</w:t>
      </w:r>
      <w:r w:rsidRPr="00FA3570">
        <w:rPr>
          <w:rFonts w:hint="eastAsia"/>
        </w:rPr>
        <w:t>部請各大學填報回復有關資料，整理出大學以「吳寶春條款」</w:t>
      </w:r>
      <w:r w:rsidRPr="00FA3570">
        <w:t>招生之</w:t>
      </w:r>
      <w:r w:rsidRPr="00FA3570">
        <w:rPr>
          <w:rFonts w:hint="eastAsia"/>
        </w:rPr>
        <w:t>現況概要資料如下：</w:t>
      </w:r>
      <w:bookmarkEnd w:id="46"/>
    </w:p>
    <w:p w:rsidR="004B3EAD" w:rsidRPr="00FA3570" w:rsidRDefault="004B3EAD" w:rsidP="004B3EAD">
      <w:pPr>
        <w:pStyle w:val="4"/>
        <w:numPr>
          <w:ilvl w:val="3"/>
          <w:numId w:val="1"/>
        </w:numPr>
      </w:pPr>
      <w:r w:rsidRPr="00FA3570">
        <w:rPr>
          <w:rFonts w:hint="eastAsia"/>
        </w:rPr>
        <w:t>學校數量方面：教育部核可適用吳寶春條款招生的</w:t>
      </w:r>
      <w:r w:rsidRPr="00FA3570">
        <w:t>一般大學計43校</w:t>
      </w:r>
      <w:r w:rsidRPr="00FA3570">
        <w:rPr>
          <w:rFonts w:hint="eastAsia"/>
        </w:rPr>
        <w:t>、</w:t>
      </w:r>
      <w:r w:rsidRPr="00FA3570">
        <w:t>技專校院計37校</w:t>
      </w:r>
      <w:r w:rsidRPr="00FA3570">
        <w:rPr>
          <w:rFonts w:hint="eastAsia"/>
        </w:rPr>
        <w:t>；</w:t>
      </w:r>
      <w:r w:rsidRPr="00FA3570">
        <w:rPr>
          <w:rFonts w:hAnsi="標楷體" w:hint="eastAsia"/>
          <w:spacing w:val="-6"/>
          <w:szCs w:val="32"/>
        </w:rPr>
        <w:t>近5學年度依</w:t>
      </w:r>
      <w:r w:rsidRPr="00FA3570">
        <w:rPr>
          <w:rFonts w:hint="eastAsia"/>
        </w:rPr>
        <w:t>吳寶春條款</w:t>
      </w:r>
      <w:r w:rsidRPr="00FA3570">
        <w:rPr>
          <w:rFonts w:hAnsi="標楷體" w:hint="eastAsia"/>
          <w:spacing w:val="-6"/>
          <w:szCs w:val="32"/>
        </w:rPr>
        <w:t>招生之學校</w:t>
      </w:r>
      <w:r w:rsidRPr="00FA3570">
        <w:rPr>
          <w:rFonts w:hint="eastAsia"/>
        </w:rPr>
        <w:t>數，則有一般大學</w:t>
      </w:r>
      <w:r w:rsidRPr="00FA3570">
        <w:t>41</w:t>
      </w:r>
      <w:r w:rsidRPr="00FA3570">
        <w:rPr>
          <w:rFonts w:hint="eastAsia"/>
        </w:rPr>
        <w:t>校</w:t>
      </w:r>
      <w:r w:rsidRPr="00FA3570">
        <w:rPr>
          <w:rStyle w:val="afd"/>
        </w:rPr>
        <w:footnoteReference w:id="3"/>
      </w:r>
      <w:r w:rsidRPr="00FA3570">
        <w:rPr>
          <w:rFonts w:hint="eastAsia"/>
        </w:rPr>
        <w:t>、技專校院</w:t>
      </w:r>
      <w:r w:rsidRPr="00FA3570">
        <w:t>31</w:t>
      </w:r>
      <w:r w:rsidRPr="00FA3570">
        <w:rPr>
          <w:rFonts w:hint="eastAsia"/>
        </w:rPr>
        <w:t>校</w:t>
      </w:r>
      <w:r w:rsidRPr="00FA3570">
        <w:rPr>
          <w:rStyle w:val="afd"/>
        </w:rPr>
        <w:footnoteReference w:id="4"/>
      </w:r>
      <w:r w:rsidRPr="00FA3570">
        <w:rPr>
          <w:rFonts w:hint="eastAsia"/>
        </w:rPr>
        <w:t>。</w:t>
      </w:r>
    </w:p>
    <w:p w:rsidR="004B3EAD" w:rsidRPr="00FA3570" w:rsidRDefault="004B3EAD" w:rsidP="004B3EAD">
      <w:pPr>
        <w:pStyle w:val="4"/>
        <w:numPr>
          <w:ilvl w:val="3"/>
          <w:numId w:val="1"/>
        </w:numPr>
      </w:pPr>
      <w:r w:rsidRPr="00FA3570">
        <w:rPr>
          <w:rFonts w:hAnsi="標楷體" w:hint="eastAsia"/>
          <w:spacing w:val="-6"/>
          <w:szCs w:val="32"/>
        </w:rPr>
        <w:t>吳寶春條款學生數：107-111學年度，在一</w:t>
      </w:r>
      <w:r w:rsidRPr="00FA3570">
        <w:rPr>
          <w:rFonts w:hint="eastAsia"/>
        </w:rPr>
        <w:t>般大學方面，共計錄取</w:t>
      </w:r>
      <w:r w:rsidRPr="00FA3570">
        <w:t>3,073</w:t>
      </w:r>
      <w:r w:rsidRPr="00FA3570">
        <w:rPr>
          <w:rFonts w:hint="eastAsia"/>
        </w:rPr>
        <w:t>人、有</w:t>
      </w:r>
      <w:r w:rsidRPr="00FA3570">
        <w:t>2,861</w:t>
      </w:r>
      <w:r w:rsidRPr="00FA3570">
        <w:rPr>
          <w:rFonts w:hint="eastAsia"/>
        </w:rPr>
        <w:t>人註冊；技專校院方面，共計錄取</w:t>
      </w:r>
      <w:r w:rsidRPr="00FA3570">
        <w:t>2,039</w:t>
      </w:r>
      <w:r w:rsidRPr="00FA3570">
        <w:rPr>
          <w:rFonts w:hint="eastAsia"/>
        </w:rPr>
        <w:t>人、有</w:t>
      </w:r>
      <w:r w:rsidRPr="00FA3570">
        <w:t>1,961</w:t>
      </w:r>
      <w:r w:rsidRPr="00FA3570">
        <w:rPr>
          <w:rFonts w:hint="eastAsia"/>
        </w:rPr>
        <w:t>人註冊</w:t>
      </w:r>
      <w:r w:rsidRPr="00FA3570">
        <w:rPr>
          <w:rFonts w:hAnsi="標楷體" w:hint="eastAsia"/>
          <w:spacing w:val="-6"/>
          <w:szCs w:val="32"/>
        </w:rPr>
        <w:t>(詳下表)</w:t>
      </w:r>
      <w:r w:rsidRPr="00FA3570">
        <w:rPr>
          <w:rFonts w:hint="eastAsia"/>
        </w:rPr>
        <w:t>。另二年制專科學校計錄取</w:t>
      </w:r>
      <w:r w:rsidRPr="00FA3570">
        <w:t>122</w:t>
      </w:r>
      <w:r w:rsidRPr="00FA3570">
        <w:rPr>
          <w:rFonts w:hint="eastAsia"/>
        </w:rPr>
        <w:t>人，註冊</w:t>
      </w:r>
      <w:r w:rsidRPr="00FA3570">
        <w:t>110</w:t>
      </w:r>
      <w:r w:rsidRPr="00FA3570">
        <w:rPr>
          <w:rFonts w:hint="eastAsia"/>
        </w:rPr>
        <w:t>人。</w:t>
      </w:r>
    </w:p>
    <w:p w:rsidR="004B3EAD" w:rsidRPr="00FA3570" w:rsidRDefault="004B3EAD" w:rsidP="004B3EAD">
      <w:pPr>
        <w:pStyle w:val="a3"/>
        <w:jc w:val="center"/>
        <w:rPr>
          <w:b/>
        </w:rPr>
      </w:pPr>
      <w:r w:rsidRPr="00FA3570">
        <w:rPr>
          <w:rFonts w:hint="eastAsia"/>
          <w:b/>
        </w:rPr>
        <w:t>依</w:t>
      </w:r>
      <w:r w:rsidRPr="00FA3570">
        <w:rPr>
          <w:rFonts w:hAnsi="標楷體" w:hint="eastAsia"/>
          <w:b/>
          <w:spacing w:val="-6"/>
          <w:szCs w:val="32"/>
        </w:rPr>
        <w:t>「入學大學同等學力認定標準」第7條</w:t>
      </w:r>
      <w:r w:rsidRPr="00FA3570">
        <w:rPr>
          <w:rFonts w:hint="eastAsia"/>
          <w:b/>
        </w:rPr>
        <w:t>招收碩士、學士學制之註</w:t>
      </w:r>
      <w:r w:rsidRPr="00FA3570">
        <w:rPr>
          <w:rFonts w:hint="eastAsia"/>
          <w:b/>
        </w:rPr>
        <w:lastRenderedPageBreak/>
        <w:t>冊人數及占比</w:t>
      </w:r>
    </w:p>
    <w:tbl>
      <w:tblPr>
        <w:tblStyle w:val="af6"/>
        <w:tblW w:w="8647" w:type="dxa"/>
        <w:tblInd w:w="846" w:type="dxa"/>
        <w:tblLook w:val="04A0" w:firstRow="1" w:lastRow="0" w:firstColumn="1" w:lastColumn="0" w:noHBand="0" w:noVBand="1"/>
      </w:tblPr>
      <w:tblGrid>
        <w:gridCol w:w="1417"/>
        <w:gridCol w:w="1418"/>
        <w:gridCol w:w="1559"/>
        <w:gridCol w:w="992"/>
        <w:gridCol w:w="1134"/>
        <w:gridCol w:w="1010"/>
        <w:gridCol w:w="1117"/>
      </w:tblGrid>
      <w:tr w:rsidR="00FA3570" w:rsidRPr="00FA3570" w:rsidTr="00A23709">
        <w:trPr>
          <w:trHeight w:val="261"/>
          <w:tblHeader/>
        </w:trPr>
        <w:tc>
          <w:tcPr>
            <w:tcW w:w="1417" w:type="dxa"/>
            <w:vMerge w:val="restart"/>
            <w:tcBorders>
              <w:tl2br w:val="single" w:sz="4" w:space="0" w:color="auto"/>
            </w:tcBorders>
          </w:tcPr>
          <w:p w:rsidR="004B3EAD" w:rsidRPr="00FA3570" w:rsidRDefault="004B3EAD" w:rsidP="00A23709">
            <w:pPr>
              <w:pStyle w:val="3"/>
              <w:numPr>
                <w:ilvl w:val="0"/>
                <w:numId w:val="0"/>
              </w:numPr>
              <w:rPr>
                <w:b/>
                <w:sz w:val="28"/>
                <w:szCs w:val="28"/>
              </w:rPr>
            </w:pPr>
          </w:p>
        </w:tc>
        <w:tc>
          <w:tcPr>
            <w:tcW w:w="1418" w:type="dxa"/>
            <w:vMerge w:val="restart"/>
          </w:tcPr>
          <w:p w:rsidR="004B3EAD" w:rsidRPr="00FA3570" w:rsidRDefault="004B3EAD" w:rsidP="00A23709">
            <w:pPr>
              <w:pStyle w:val="3"/>
              <w:numPr>
                <w:ilvl w:val="0"/>
                <w:numId w:val="0"/>
              </w:numPr>
              <w:rPr>
                <w:b/>
                <w:sz w:val="28"/>
                <w:szCs w:val="28"/>
              </w:rPr>
            </w:pPr>
            <w:bookmarkStart w:id="47" w:name="_Toc135055439"/>
            <w:r w:rsidRPr="00FA3570">
              <w:rPr>
                <w:rFonts w:hint="eastAsia"/>
                <w:b/>
                <w:sz w:val="28"/>
                <w:szCs w:val="28"/>
              </w:rPr>
              <w:t>錄取人數</w:t>
            </w:r>
            <w:bookmarkEnd w:id="47"/>
          </w:p>
        </w:tc>
        <w:tc>
          <w:tcPr>
            <w:tcW w:w="1559" w:type="dxa"/>
            <w:vMerge w:val="restart"/>
          </w:tcPr>
          <w:p w:rsidR="004B3EAD" w:rsidRPr="00FA3570" w:rsidRDefault="004B3EAD" w:rsidP="00A23709">
            <w:pPr>
              <w:pStyle w:val="3"/>
              <w:numPr>
                <w:ilvl w:val="0"/>
                <w:numId w:val="0"/>
              </w:numPr>
              <w:rPr>
                <w:b/>
                <w:sz w:val="28"/>
                <w:szCs w:val="28"/>
              </w:rPr>
            </w:pPr>
            <w:bookmarkStart w:id="48" w:name="_Toc135055440"/>
            <w:r w:rsidRPr="00FA3570">
              <w:rPr>
                <w:rFonts w:hint="eastAsia"/>
                <w:b/>
                <w:sz w:val="28"/>
                <w:szCs w:val="28"/>
              </w:rPr>
              <w:t>註冊人數</w:t>
            </w:r>
            <w:bookmarkEnd w:id="48"/>
          </w:p>
        </w:tc>
        <w:tc>
          <w:tcPr>
            <w:tcW w:w="2126" w:type="dxa"/>
            <w:gridSpan w:val="2"/>
          </w:tcPr>
          <w:p w:rsidR="004B3EAD" w:rsidRPr="00FA3570" w:rsidRDefault="004B3EAD" w:rsidP="00A23709">
            <w:pPr>
              <w:pStyle w:val="3"/>
              <w:numPr>
                <w:ilvl w:val="0"/>
                <w:numId w:val="0"/>
              </w:numPr>
              <w:jc w:val="center"/>
              <w:rPr>
                <w:b/>
                <w:sz w:val="28"/>
                <w:szCs w:val="28"/>
              </w:rPr>
            </w:pPr>
            <w:bookmarkStart w:id="49" w:name="_Toc135055441"/>
            <w:r w:rsidRPr="00FA3570">
              <w:rPr>
                <w:rFonts w:hint="eastAsia"/>
                <w:b/>
                <w:sz w:val="28"/>
                <w:szCs w:val="28"/>
              </w:rPr>
              <w:t>學士</w:t>
            </w:r>
            <w:bookmarkEnd w:id="49"/>
          </w:p>
        </w:tc>
        <w:tc>
          <w:tcPr>
            <w:tcW w:w="2127" w:type="dxa"/>
            <w:gridSpan w:val="2"/>
          </w:tcPr>
          <w:p w:rsidR="004B3EAD" w:rsidRPr="00FA3570" w:rsidRDefault="004B3EAD" w:rsidP="00A23709">
            <w:pPr>
              <w:pStyle w:val="3"/>
              <w:numPr>
                <w:ilvl w:val="0"/>
                <w:numId w:val="0"/>
              </w:numPr>
              <w:jc w:val="center"/>
              <w:rPr>
                <w:b/>
                <w:sz w:val="28"/>
                <w:szCs w:val="28"/>
              </w:rPr>
            </w:pPr>
            <w:bookmarkStart w:id="50" w:name="_Toc135055442"/>
            <w:r w:rsidRPr="00FA3570">
              <w:rPr>
                <w:rFonts w:hint="eastAsia"/>
                <w:b/>
                <w:sz w:val="28"/>
                <w:szCs w:val="28"/>
              </w:rPr>
              <w:t>碩士</w:t>
            </w:r>
            <w:bookmarkEnd w:id="50"/>
          </w:p>
        </w:tc>
      </w:tr>
      <w:tr w:rsidR="00FA3570" w:rsidRPr="00FA3570" w:rsidTr="00A23709">
        <w:trPr>
          <w:trHeight w:val="175"/>
          <w:tblHeader/>
        </w:trPr>
        <w:tc>
          <w:tcPr>
            <w:tcW w:w="1417" w:type="dxa"/>
            <w:vMerge/>
            <w:tcBorders>
              <w:tl2br w:val="single" w:sz="4" w:space="0" w:color="auto"/>
            </w:tcBorders>
          </w:tcPr>
          <w:p w:rsidR="004B3EAD" w:rsidRPr="00FA3570" w:rsidRDefault="004B3EAD" w:rsidP="00A23709">
            <w:pPr>
              <w:pStyle w:val="3"/>
              <w:numPr>
                <w:ilvl w:val="0"/>
                <w:numId w:val="0"/>
              </w:numPr>
              <w:rPr>
                <w:b/>
                <w:sz w:val="28"/>
                <w:szCs w:val="28"/>
              </w:rPr>
            </w:pPr>
          </w:p>
        </w:tc>
        <w:tc>
          <w:tcPr>
            <w:tcW w:w="1418" w:type="dxa"/>
            <w:vMerge/>
          </w:tcPr>
          <w:p w:rsidR="004B3EAD" w:rsidRPr="00FA3570" w:rsidRDefault="004B3EAD" w:rsidP="00A23709">
            <w:pPr>
              <w:pStyle w:val="3"/>
              <w:numPr>
                <w:ilvl w:val="0"/>
                <w:numId w:val="0"/>
              </w:numPr>
              <w:rPr>
                <w:b/>
                <w:sz w:val="28"/>
                <w:szCs w:val="28"/>
              </w:rPr>
            </w:pPr>
          </w:p>
        </w:tc>
        <w:tc>
          <w:tcPr>
            <w:tcW w:w="1559" w:type="dxa"/>
            <w:vMerge/>
          </w:tcPr>
          <w:p w:rsidR="004B3EAD" w:rsidRPr="00FA3570" w:rsidRDefault="004B3EAD" w:rsidP="00A23709">
            <w:pPr>
              <w:pStyle w:val="3"/>
              <w:numPr>
                <w:ilvl w:val="0"/>
                <w:numId w:val="0"/>
              </w:numPr>
              <w:rPr>
                <w:b/>
                <w:sz w:val="28"/>
                <w:szCs w:val="28"/>
              </w:rPr>
            </w:pPr>
          </w:p>
        </w:tc>
        <w:tc>
          <w:tcPr>
            <w:tcW w:w="992" w:type="dxa"/>
          </w:tcPr>
          <w:p w:rsidR="004B3EAD" w:rsidRPr="00FA3570" w:rsidRDefault="004B3EAD" w:rsidP="00A23709">
            <w:pPr>
              <w:pStyle w:val="3"/>
              <w:numPr>
                <w:ilvl w:val="0"/>
                <w:numId w:val="0"/>
              </w:numPr>
              <w:jc w:val="center"/>
              <w:rPr>
                <w:b/>
                <w:sz w:val="28"/>
                <w:szCs w:val="28"/>
              </w:rPr>
            </w:pPr>
            <w:bookmarkStart w:id="51" w:name="_Toc135055443"/>
            <w:r w:rsidRPr="00FA3570">
              <w:rPr>
                <w:rFonts w:hint="eastAsia"/>
                <w:b/>
                <w:sz w:val="28"/>
                <w:szCs w:val="28"/>
              </w:rPr>
              <w:t>註冊人數</w:t>
            </w:r>
            <w:bookmarkEnd w:id="51"/>
          </w:p>
        </w:tc>
        <w:tc>
          <w:tcPr>
            <w:tcW w:w="1134" w:type="dxa"/>
          </w:tcPr>
          <w:p w:rsidR="004B3EAD" w:rsidRPr="00FA3570" w:rsidRDefault="004B3EAD" w:rsidP="00A23709">
            <w:pPr>
              <w:pStyle w:val="3"/>
              <w:numPr>
                <w:ilvl w:val="0"/>
                <w:numId w:val="0"/>
              </w:numPr>
              <w:jc w:val="center"/>
              <w:rPr>
                <w:b/>
                <w:sz w:val="28"/>
                <w:szCs w:val="28"/>
              </w:rPr>
            </w:pPr>
            <w:bookmarkStart w:id="52" w:name="_Toc135055444"/>
            <w:r w:rsidRPr="00FA3570">
              <w:rPr>
                <w:rFonts w:hint="eastAsia"/>
                <w:b/>
                <w:sz w:val="28"/>
                <w:szCs w:val="28"/>
              </w:rPr>
              <w:t>占比</w:t>
            </w:r>
            <w:bookmarkEnd w:id="52"/>
          </w:p>
        </w:tc>
        <w:tc>
          <w:tcPr>
            <w:tcW w:w="1010" w:type="dxa"/>
          </w:tcPr>
          <w:p w:rsidR="004B3EAD" w:rsidRPr="00FA3570" w:rsidRDefault="004B3EAD" w:rsidP="00A23709">
            <w:pPr>
              <w:pStyle w:val="3"/>
              <w:numPr>
                <w:ilvl w:val="0"/>
                <w:numId w:val="0"/>
              </w:numPr>
              <w:jc w:val="center"/>
              <w:rPr>
                <w:b/>
                <w:sz w:val="28"/>
                <w:szCs w:val="28"/>
              </w:rPr>
            </w:pPr>
            <w:bookmarkStart w:id="53" w:name="_Toc135055445"/>
            <w:r w:rsidRPr="00FA3570">
              <w:rPr>
                <w:rFonts w:hint="eastAsia"/>
                <w:b/>
                <w:sz w:val="28"/>
                <w:szCs w:val="28"/>
              </w:rPr>
              <w:t>註冊人數</w:t>
            </w:r>
            <w:bookmarkEnd w:id="53"/>
          </w:p>
        </w:tc>
        <w:tc>
          <w:tcPr>
            <w:tcW w:w="1117" w:type="dxa"/>
          </w:tcPr>
          <w:p w:rsidR="004B3EAD" w:rsidRPr="00FA3570" w:rsidRDefault="004B3EAD" w:rsidP="00A23709">
            <w:pPr>
              <w:pStyle w:val="3"/>
              <w:numPr>
                <w:ilvl w:val="0"/>
                <w:numId w:val="0"/>
              </w:numPr>
              <w:jc w:val="center"/>
              <w:rPr>
                <w:b/>
                <w:sz w:val="28"/>
                <w:szCs w:val="28"/>
              </w:rPr>
            </w:pPr>
            <w:bookmarkStart w:id="54" w:name="_Toc135055446"/>
            <w:r w:rsidRPr="00FA3570">
              <w:rPr>
                <w:rFonts w:hint="eastAsia"/>
                <w:b/>
                <w:sz w:val="28"/>
                <w:szCs w:val="28"/>
              </w:rPr>
              <w:t>占比</w:t>
            </w:r>
            <w:bookmarkEnd w:id="54"/>
          </w:p>
        </w:tc>
      </w:tr>
      <w:tr w:rsidR="00FA3570" w:rsidRPr="00FA3570" w:rsidTr="00A23709">
        <w:tc>
          <w:tcPr>
            <w:tcW w:w="1417" w:type="dxa"/>
          </w:tcPr>
          <w:p w:rsidR="004B3EAD" w:rsidRPr="00FA3570" w:rsidRDefault="004B3EAD" w:rsidP="00A23709">
            <w:pPr>
              <w:pStyle w:val="3"/>
              <w:numPr>
                <w:ilvl w:val="0"/>
                <w:numId w:val="0"/>
              </w:numPr>
              <w:rPr>
                <w:sz w:val="28"/>
                <w:szCs w:val="28"/>
              </w:rPr>
            </w:pPr>
            <w:bookmarkStart w:id="55" w:name="_Toc135055447"/>
            <w:r w:rsidRPr="00FA3570">
              <w:rPr>
                <w:rFonts w:hint="eastAsia"/>
                <w:sz w:val="28"/>
                <w:szCs w:val="28"/>
              </w:rPr>
              <w:t>一般大學</w:t>
            </w:r>
            <w:bookmarkEnd w:id="55"/>
          </w:p>
        </w:tc>
        <w:tc>
          <w:tcPr>
            <w:tcW w:w="1418" w:type="dxa"/>
          </w:tcPr>
          <w:p w:rsidR="004B3EAD" w:rsidRPr="00FA3570" w:rsidRDefault="004B3EAD" w:rsidP="00A23709">
            <w:pPr>
              <w:pStyle w:val="3"/>
              <w:numPr>
                <w:ilvl w:val="0"/>
                <w:numId w:val="0"/>
              </w:numPr>
              <w:rPr>
                <w:sz w:val="28"/>
                <w:szCs w:val="28"/>
              </w:rPr>
            </w:pPr>
            <w:bookmarkStart w:id="56" w:name="_Toc135055448"/>
            <w:r w:rsidRPr="00FA3570">
              <w:rPr>
                <w:rFonts w:hint="eastAsia"/>
                <w:sz w:val="28"/>
                <w:szCs w:val="28"/>
              </w:rPr>
              <w:t>3</w:t>
            </w:r>
            <w:r w:rsidRPr="00FA3570">
              <w:rPr>
                <w:sz w:val="28"/>
                <w:szCs w:val="28"/>
              </w:rPr>
              <w:t>,</w:t>
            </w:r>
            <w:r w:rsidRPr="00FA3570">
              <w:rPr>
                <w:rFonts w:hint="eastAsia"/>
                <w:sz w:val="28"/>
                <w:szCs w:val="28"/>
              </w:rPr>
              <w:t>073</w:t>
            </w:r>
            <w:bookmarkEnd w:id="56"/>
          </w:p>
        </w:tc>
        <w:tc>
          <w:tcPr>
            <w:tcW w:w="1559" w:type="dxa"/>
          </w:tcPr>
          <w:p w:rsidR="004B3EAD" w:rsidRPr="00FA3570" w:rsidRDefault="004B3EAD" w:rsidP="00A23709">
            <w:pPr>
              <w:pStyle w:val="3"/>
              <w:numPr>
                <w:ilvl w:val="0"/>
                <w:numId w:val="0"/>
              </w:numPr>
              <w:rPr>
                <w:sz w:val="28"/>
                <w:szCs w:val="28"/>
              </w:rPr>
            </w:pPr>
            <w:bookmarkStart w:id="57" w:name="_Toc135055449"/>
            <w:r w:rsidRPr="00FA3570">
              <w:rPr>
                <w:rFonts w:hint="eastAsia"/>
                <w:sz w:val="28"/>
                <w:szCs w:val="28"/>
              </w:rPr>
              <w:t>2</w:t>
            </w:r>
            <w:r w:rsidRPr="00FA3570">
              <w:rPr>
                <w:sz w:val="28"/>
                <w:szCs w:val="28"/>
              </w:rPr>
              <w:t>,</w:t>
            </w:r>
            <w:r w:rsidRPr="00FA3570">
              <w:rPr>
                <w:rFonts w:hint="eastAsia"/>
                <w:sz w:val="28"/>
                <w:szCs w:val="28"/>
              </w:rPr>
              <w:t>861</w:t>
            </w:r>
            <w:bookmarkEnd w:id="57"/>
          </w:p>
        </w:tc>
        <w:tc>
          <w:tcPr>
            <w:tcW w:w="992" w:type="dxa"/>
          </w:tcPr>
          <w:p w:rsidR="004B3EAD" w:rsidRPr="00FA3570" w:rsidRDefault="004B3EAD" w:rsidP="00A23709">
            <w:pPr>
              <w:pStyle w:val="3"/>
              <w:numPr>
                <w:ilvl w:val="0"/>
                <w:numId w:val="0"/>
              </w:numPr>
              <w:rPr>
                <w:sz w:val="28"/>
                <w:szCs w:val="28"/>
              </w:rPr>
            </w:pPr>
            <w:bookmarkStart w:id="58" w:name="_Toc135055450"/>
            <w:r w:rsidRPr="00FA3570">
              <w:rPr>
                <w:rFonts w:hint="eastAsia"/>
                <w:sz w:val="28"/>
                <w:szCs w:val="28"/>
              </w:rPr>
              <w:t>28</w:t>
            </w:r>
            <w:bookmarkEnd w:id="58"/>
          </w:p>
        </w:tc>
        <w:tc>
          <w:tcPr>
            <w:tcW w:w="1134" w:type="dxa"/>
          </w:tcPr>
          <w:p w:rsidR="004B3EAD" w:rsidRPr="00FA3570" w:rsidRDefault="004B3EAD" w:rsidP="00A23709">
            <w:pPr>
              <w:pStyle w:val="3"/>
              <w:numPr>
                <w:ilvl w:val="0"/>
                <w:numId w:val="0"/>
              </w:numPr>
              <w:rPr>
                <w:sz w:val="28"/>
                <w:szCs w:val="28"/>
              </w:rPr>
            </w:pPr>
            <w:bookmarkStart w:id="59" w:name="_Toc135055451"/>
            <w:r w:rsidRPr="00FA3570">
              <w:rPr>
                <w:rFonts w:hint="eastAsia"/>
                <w:sz w:val="28"/>
                <w:szCs w:val="28"/>
              </w:rPr>
              <w:t>0.98%</w:t>
            </w:r>
            <w:bookmarkEnd w:id="59"/>
          </w:p>
        </w:tc>
        <w:tc>
          <w:tcPr>
            <w:tcW w:w="1010" w:type="dxa"/>
          </w:tcPr>
          <w:p w:rsidR="004B3EAD" w:rsidRPr="00FA3570" w:rsidRDefault="004B3EAD" w:rsidP="00A23709">
            <w:pPr>
              <w:pStyle w:val="3"/>
              <w:numPr>
                <w:ilvl w:val="0"/>
                <w:numId w:val="0"/>
              </w:numPr>
              <w:rPr>
                <w:sz w:val="28"/>
                <w:szCs w:val="28"/>
              </w:rPr>
            </w:pPr>
            <w:bookmarkStart w:id="60" w:name="_Toc135055452"/>
            <w:r w:rsidRPr="00FA3570">
              <w:rPr>
                <w:rFonts w:hint="eastAsia"/>
                <w:sz w:val="28"/>
                <w:szCs w:val="28"/>
              </w:rPr>
              <w:t>2</w:t>
            </w:r>
            <w:r w:rsidRPr="00FA3570">
              <w:rPr>
                <w:sz w:val="28"/>
                <w:szCs w:val="28"/>
              </w:rPr>
              <w:t>,</w:t>
            </w:r>
            <w:r w:rsidRPr="00FA3570">
              <w:rPr>
                <w:rFonts w:hint="eastAsia"/>
                <w:sz w:val="28"/>
                <w:szCs w:val="28"/>
              </w:rPr>
              <w:t>833</w:t>
            </w:r>
            <w:bookmarkEnd w:id="60"/>
          </w:p>
        </w:tc>
        <w:tc>
          <w:tcPr>
            <w:tcW w:w="1117" w:type="dxa"/>
          </w:tcPr>
          <w:p w:rsidR="004B3EAD" w:rsidRPr="00FA3570" w:rsidRDefault="004B3EAD" w:rsidP="00A23709">
            <w:pPr>
              <w:pStyle w:val="3"/>
              <w:numPr>
                <w:ilvl w:val="0"/>
                <w:numId w:val="0"/>
              </w:numPr>
              <w:rPr>
                <w:sz w:val="28"/>
                <w:szCs w:val="28"/>
              </w:rPr>
            </w:pPr>
            <w:bookmarkStart w:id="61" w:name="_Toc135055453"/>
            <w:r w:rsidRPr="00FA3570">
              <w:rPr>
                <w:rFonts w:hint="eastAsia"/>
                <w:sz w:val="28"/>
                <w:szCs w:val="28"/>
              </w:rPr>
              <w:t>99.02%</w:t>
            </w:r>
            <w:bookmarkEnd w:id="61"/>
          </w:p>
        </w:tc>
      </w:tr>
      <w:tr w:rsidR="00FA3570" w:rsidRPr="00FA3570" w:rsidTr="00A23709">
        <w:tc>
          <w:tcPr>
            <w:tcW w:w="1417" w:type="dxa"/>
          </w:tcPr>
          <w:p w:rsidR="004B3EAD" w:rsidRPr="00FA3570" w:rsidRDefault="004B3EAD" w:rsidP="00A23709">
            <w:pPr>
              <w:pStyle w:val="3"/>
              <w:numPr>
                <w:ilvl w:val="0"/>
                <w:numId w:val="0"/>
              </w:numPr>
              <w:rPr>
                <w:sz w:val="28"/>
                <w:szCs w:val="28"/>
              </w:rPr>
            </w:pPr>
            <w:bookmarkStart w:id="62" w:name="_Toc135055454"/>
            <w:r w:rsidRPr="00FA3570">
              <w:rPr>
                <w:rFonts w:hint="eastAsia"/>
                <w:sz w:val="28"/>
                <w:szCs w:val="28"/>
              </w:rPr>
              <w:t>技專校院</w:t>
            </w:r>
            <w:bookmarkEnd w:id="62"/>
          </w:p>
        </w:tc>
        <w:tc>
          <w:tcPr>
            <w:tcW w:w="1418" w:type="dxa"/>
          </w:tcPr>
          <w:p w:rsidR="004B3EAD" w:rsidRPr="00FA3570" w:rsidRDefault="004B3EAD" w:rsidP="00A23709">
            <w:pPr>
              <w:pStyle w:val="3"/>
              <w:numPr>
                <w:ilvl w:val="0"/>
                <w:numId w:val="0"/>
              </w:numPr>
              <w:rPr>
                <w:sz w:val="28"/>
                <w:szCs w:val="28"/>
              </w:rPr>
            </w:pPr>
            <w:bookmarkStart w:id="63" w:name="_Toc135055455"/>
            <w:r w:rsidRPr="00FA3570">
              <w:rPr>
                <w:rFonts w:hint="eastAsia"/>
                <w:sz w:val="28"/>
                <w:szCs w:val="28"/>
              </w:rPr>
              <w:t>2</w:t>
            </w:r>
            <w:r w:rsidRPr="00FA3570">
              <w:rPr>
                <w:sz w:val="28"/>
                <w:szCs w:val="28"/>
              </w:rPr>
              <w:t>,</w:t>
            </w:r>
            <w:r w:rsidRPr="00FA3570">
              <w:rPr>
                <w:rFonts w:hint="eastAsia"/>
                <w:sz w:val="28"/>
                <w:szCs w:val="28"/>
              </w:rPr>
              <w:t>039</w:t>
            </w:r>
            <w:bookmarkEnd w:id="63"/>
          </w:p>
        </w:tc>
        <w:tc>
          <w:tcPr>
            <w:tcW w:w="1559" w:type="dxa"/>
          </w:tcPr>
          <w:p w:rsidR="004B3EAD" w:rsidRPr="00FA3570" w:rsidRDefault="004B3EAD" w:rsidP="00A23709">
            <w:pPr>
              <w:pStyle w:val="3"/>
              <w:numPr>
                <w:ilvl w:val="0"/>
                <w:numId w:val="0"/>
              </w:numPr>
              <w:rPr>
                <w:sz w:val="28"/>
                <w:szCs w:val="28"/>
              </w:rPr>
            </w:pPr>
            <w:bookmarkStart w:id="64" w:name="_Toc135055456"/>
            <w:r w:rsidRPr="00FA3570">
              <w:rPr>
                <w:rFonts w:hint="eastAsia"/>
                <w:sz w:val="28"/>
                <w:szCs w:val="28"/>
              </w:rPr>
              <w:t>1</w:t>
            </w:r>
            <w:r w:rsidRPr="00FA3570">
              <w:rPr>
                <w:sz w:val="28"/>
                <w:szCs w:val="28"/>
              </w:rPr>
              <w:t>,</w:t>
            </w:r>
            <w:r w:rsidRPr="00FA3570">
              <w:rPr>
                <w:rFonts w:hint="eastAsia"/>
                <w:sz w:val="28"/>
                <w:szCs w:val="28"/>
              </w:rPr>
              <w:t>961</w:t>
            </w:r>
            <w:bookmarkEnd w:id="64"/>
          </w:p>
        </w:tc>
        <w:tc>
          <w:tcPr>
            <w:tcW w:w="992" w:type="dxa"/>
          </w:tcPr>
          <w:p w:rsidR="004B3EAD" w:rsidRPr="00FA3570" w:rsidRDefault="004B3EAD" w:rsidP="00A23709">
            <w:pPr>
              <w:pStyle w:val="3"/>
              <w:numPr>
                <w:ilvl w:val="0"/>
                <w:numId w:val="0"/>
              </w:numPr>
              <w:rPr>
                <w:sz w:val="28"/>
                <w:szCs w:val="28"/>
              </w:rPr>
            </w:pPr>
            <w:bookmarkStart w:id="65" w:name="_Toc135055457"/>
            <w:r w:rsidRPr="00FA3570">
              <w:rPr>
                <w:rFonts w:hint="eastAsia"/>
                <w:sz w:val="28"/>
                <w:szCs w:val="28"/>
              </w:rPr>
              <w:t>593</w:t>
            </w:r>
            <w:bookmarkEnd w:id="65"/>
          </w:p>
        </w:tc>
        <w:tc>
          <w:tcPr>
            <w:tcW w:w="1134" w:type="dxa"/>
          </w:tcPr>
          <w:p w:rsidR="004B3EAD" w:rsidRPr="00FA3570" w:rsidRDefault="004B3EAD" w:rsidP="00A23709">
            <w:pPr>
              <w:pStyle w:val="3"/>
              <w:numPr>
                <w:ilvl w:val="0"/>
                <w:numId w:val="0"/>
              </w:numPr>
              <w:rPr>
                <w:sz w:val="28"/>
                <w:szCs w:val="28"/>
              </w:rPr>
            </w:pPr>
            <w:bookmarkStart w:id="66" w:name="_Toc135055458"/>
            <w:r w:rsidRPr="00FA3570">
              <w:rPr>
                <w:rFonts w:hint="eastAsia"/>
                <w:sz w:val="28"/>
                <w:szCs w:val="28"/>
              </w:rPr>
              <w:t>30.24%</w:t>
            </w:r>
            <w:bookmarkEnd w:id="66"/>
          </w:p>
        </w:tc>
        <w:tc>
          <w:tcPr>
            <w:tcW w:w="1010" w:type="dxa"/>
          </w:tcPr>
          <w:p w:rsidR="004B3EAD" w:rsidRPr="00FA3570" w:rsidRDefault="004B3EAD" w:rsidP="00A23709">
            <w:pPr>
              <w:pStyle w:val="3"/>
              <w:numPr>
                <w:ilvl w:val="0"/>
                <w:numId w:val="0"/>
              </w:numPr>
              <w:rPr>
                <w:sz w:val="28"/>
                <w:szCs w:val="28"/>
              </w:rPr>
            </w:pPr>
            <w:bookmarkStart w:id="67" w:name="_Toc135055459"/>
            <w:r w:rsidRPr="00FA3570">
              <w:rPr>
                <w:rFonts w:hint="eastAsia"/>
                <w:sz w:val="28"/>
                <w:szCs w:val="28"/>
              </w:rPr>
              <w:t>1</w:t>
            </w:r>
            <w:r w:rsidRPr="00FA3570">
              <w:rPr>
                <w:sz w:val="28"/>
                <w:szCs w:val="28"/>
              </w:rPr>
              <w:t>,</w:t>
            </w:r>
            <w:r w:rsidRPr="00FA3570">
              <w:rPr>
                <w:rFonts w:hint="eastAsia"/>
                <w:sz w:val="28"/>
                <w:szCs w:val="28"/>
              </w:rPr>
              <w:t>368</w:t>
            </w:r>
            <w:bookmarkEnd w:id="67"/>
          </w:p>
        </w:tc>
        <w:tc>
          <w:tcPr>
            <w:tcW w:w="1117" w:type="dxa"/>
          </w:tcPr>
          <w:p w:rsidR="004B3EAD" w:rsidRPr="00FA3570" w:rsidRDefault="004B3EAD" w:rsidP="00A23709">
            <w:pPr>
              <w:pStyle w:val="3"/>
              <w:numPr>
                <w:ilvl w:val="0"/>
                <w:numId w:val="0"/>
              </w:numPr>
              <w:rPr>
                <w:sz w:val="28"/>
                <w:szCs w:val="28"/>
              </w:rPr>
            </w:pPr>
            <w:bookmarkStart w:id="68" w:name="_Toc135055460"/>
            <w:r w:rsidRPr="00FA3570">
              <w:rPr>
                <w:rFonts w:hint="eastAsia"/>
                <w:sz w:val="28"/>
                <w:szCs w:val="28"/>
              </w:rPr>
              <w:t>69.76%</w:t>
            </w:r>
            <w:bookmarkEnd w:id="68"/>
          </w:p>
        </w:tc>
      </w:tr>
      <w:tr w:rsidR="00FA3570" w:rsidRPr="00FA3570" w:rsidTr="00A23709">
        <w:tc>
          <w:tcPr>
            <w:tcW w:w="1417" w:type="dxa"/>
          </w:tcPr>
          <w:p w:rsidR="004B3EAD" w:rsidRPr="00FA3570" w:rsidRDefault="004B3EAD" w:rsidP="00A23709">
            <w:pPr>
              <w:pStyle w:val="3"/>
              <w:numPr>
                <w:ilvl w:val="0"/>
                <w:numId w:val="0"/>
              </w:numPr>
              <w:rPr>
                <w:sz w:val="28"/>
                <w:szCs w:val="28"/>
              </w:rPr>
            </w:pPr>
            <w:bookmarkStart w:id="69" w:name="_Toc135055461"/>
            <w:r w:rsidRPr="00FA3570">
              <w:rPr>
                <w:rFonts w:hint="eastAsia"/>
                <w:sz w:val="28"/>
                <w:szCs w:val="28"/>
              </w:rPr>
              <w:t>總計</w:t>
            </w:r>
            <w:bookmarkEnd w:id="69"/>
          </w:p>
        </w:tc>
        <w:tc>
          <w:tcPr>
            <w:tcW w:w="1418" w:type="dxa"/>
          </w:tcPr>
          <w:p w:rsidR="004B3EAD" w:rsidRPr="00FA3570" w:rsidRDefault="004B3EAD" w:rsidP="00A23709">
            <w:pPr>
              <w:pStyle w:val="3"/>
              <w:numPr>
                <w:ilvl w:val="0"/>
                <w:numId w:val="0"/>
              </w:numPr>
              <w:rPr>
                <w:sz w:val="28"/>
                <w:szCs w:val="28"/>
              </w:rPr>
            </w:pPr>
            <w:bookmarkStart w:id="70" w:name="_Toc135055462"/>
            <w:r w:rsidRPr="00FA3570">
              <w:rPr>
                <w:rFonts w:hint="eastAsia"/>
                <w:sz w:val="28"/>
                <w:szCs w:val="28"/>
              </w:rPr>
              <w:t>5</w:t>
            </w:r>
            <w:r w:rsidRPr="00FA3570">
              <w:rPr>
                <w:sz w:val="28"/>
                <w:szCs w:val="28"/>
              </w:rPr>
              <w:t>,</w:t>
            </w:r>
            <w:r w:rsidRPr="00FA3570">
              <w:rPr>
                <w:rFonts w:hint="eastAsia"/>
                <w:sz w:val="28"/>
                <w:szCs w:val="28"/>
              </w:rPr>
              <w:t>112</w:t>
            </w:r>
            <w:bookmarkEnd w:id="70"/>
          </w:p>
        </w:tc>
        <w:tc>
          <w:tcPr>
            <w:tcW w:w="1559" w:type="dxa"/>
          </w:tcPr>
          <w:p w:rsidR="004B3EAD" w:rsidRPr="00FA3570" w:rsidRDefault="004B3EAD" w:rsidP="00A23709">
            <w:pPr>
              <w:pStyle w:val="3"/>
              <w:numPr>
                <w:ilvl w:val="0"/>
                <w:numId w:val="0"/>
              </w:numPr>
              <w:rPr>
                <w:sz w:val="28"/>
                <w:szCs w:val="28"/>
              </w:rPr>
            </w:pPr>
            <w:bookmarkStart w:id="71" w:name="_Toc135055463"/>
            <w:r w:rsidRPr="00FA3570">
              <w:rPr>
                <w:rFonts w:hint="eastAsia"/>
                <w:sz w:val="28"/>
                <w:szCs w:val="28"/>
              </w:rPr>
              <w:t>4</w:t>
            </w:r>
            <w:r w:rsidRPr="00FA3570">
              <w:rPr>
                <w:sz w:val="28"/>
                <w:szCs w:val="28"/>
              </w:rPr>
              <w:t>,</w:t>
            </w:r>
            <w:r w:rsidRPr="00FA3570">
              <w:rPr>
                <w:rFonts w:hint="eastAsia"/>
                <w:sz w:val="28"/>
                <w:szCs w:val="28"/>
              </w:rPr>
              <w:t>822</w:t>
            </w:r>
            <w:bookmarkEnd w:id="71"/>
          </w:p>
        </w:tc>
        <w:tc>
          <w:tcPr>
            <w:tcW w:w="992" w:type="dxa"/>
          </w:tcPr>
          <w:p w:rsidR="004B3EAD" w:rsidRPr="00FA3570" w:rsidRDefault="004B3EAD" w:rsidP="00A23709">
            <w:pPr>
              <w:pStyle w:val="3"/>
              <w:numPr>
                <w:ilvl w:val="0"/>
                <w:numId w:val="0"/>
              </w:numPr>
              <w:rPr>
                <w:sz w:val="28"/>
                <w:szCs w:val="28"/>
              </w:rPr>
            </w:pPr>
            <w:bookmarkStart w:id="72" w:name="_Toc135055464"/>
            <w:r w:rsidRPr="00FA3570">
              <w:rPr>
                <w:rFonts w:hint="eastAsia"/>
                <w:sz w:val="28"/>
                <w:szCs w:val="28"/>
              </w:rPr>
              <w:t>621</w:t>
            </w:r>
            <w:bookmarkEnd w:id="72"/>
          </w:p>
        </w:tc>
        <w:tc>
          <w:tcPr>
            <w:tcW w:w="1134" w:type="dxa"/>
          </w:tcPr>
          <w:p w:rsidR="004B3EAD" w:rsidRPr="00FA3570" w:rsidRDefault="004B3EAD" w:rsidP="00A23709">
            <w:pPr>
              <w:pStyle w:val="3"/>
              <w:numPr>
                <w:ilvl w:val="0"/>
                <w:numId w:val="0"/>
              </w:numPr>
              <w:rPr>
                <w:sz w:val="28"/>
                <w:szCs w:val="28"/>
              </w:rPr>
            </w:pPr>
            <w:bookmarkStart w:id="73" w:name="_Toc135055465"/>
            <w:r w:rsidRPr="00FA3570">
              <w:rPr>
                <w:rFonts w:hint="eastAsia"/>
                <w:sz w:val="28"/>
                <w:szCs w:val="28"/>
              </w:rPr>
              <w:t>12.88%</w:t>
            </w:r>
            <w:bookmarkEnd w:id="73"/>
          </w:p>
        </w:tc>
        <w:tc>
          <w:tcPr>
            <w:tcW w:w="1010" w:type="dxa"/>
          </w:tcPr>
          <w:p w:rsidR="004B3EAD" w:rsidRPr="00FA3570" w:rsidRDefault="004B3EAD" w:rsidP="00A23709">
            <w:pPr>
              <w:pStyle w:val="3"/>
              <w:numPr>
                <w:ilvl w:val="0"/>
                <w:numId w:val="0"/>
              </w:numPr>
              <w:rPr>
                <w:sz w:val="28"/>
                <w:szCs w:val="28"/>
              </w:rPr>
            </w:pPr>
            <w:bookmarkStart w:id="74" w:name="_Toc135055466"/>
            <w:r w:rsidRPr="00FA3570">
              <w:rPr>
                <w:rFonts w:hint="eastAsia"/>
                <w:sz w:val="28"/>
                <w:szCs w:val="28"/>
              </w:rPr>
              <w:t>4</w:t>
            </w:r>
            <w:r w:rsidRPr="00FA3570">
              <w:rPr>
                <w:sz w:val="28"/>
                <w:szCs w:val="28"/>
              </w:rPr>
              <w:t>,</w:t>
            </w:r>
            <w:r w:rsidRPr="00FA3570">
              <w:rPr>
                <w:rFonts w:hint="eastAsia"/>
                <w:sz w:val="28"/>
                <w:szCs w:val="28"/>
              </w:rPr>
              <w:t>201</w:t>
            </w:r>
            <w:bookmarkEnd w:id="74"/>
          </w:p>
        </w:tc>
        <w:tc>
          <w:tcPr>
            <w:tcW w:w="1117" w:type="dxa"/>
          </w:tcPr>
          <w:p w:rsidR="004B3EAD" w:rsidRPr="00FA3570" w:rsidRDefault="004B3EAD" w:rsidP="00A23709">
            <w:pPr>
              <w:pStyle w:val="3"/>
              <w:numPr>
                <w:ilvl w:val="0"/>
                <w:numId w:val="0"/>
              </w:numPr>
              <w:rPr>
                <w:sz w:val="28"/>
                <w:szCs w:val="28"/>
              </w:rPr>
            </w:pPr>
            <w:bookmarkStart w:id="75" w:name="_Toc135055467"/>
            <w:r w:rsidRPr="00FA3570">
              <w:rPr>
                <w:rFonts w:hint="eastAsia"/>
                <w:sz w:val="28"/>
                <w:szCs w:val="28"/>
              </w:rPr>
              <w:t>87.12%</w:t>
            </w:r>
            <w:bookmarkEnd w:id="75"/>
          </w:p>
        </w:tc>
      </w:tr>
    </w:tbl>
    <w:p w:rsidR="004B3EAD" w:rsidRPr="00FA3570" w:rsidRDefault="004B3EAD" w:rsidP="004B3EAD">
      <w:pPr>
        <w:pStyle w:val="3"/>
        <w:numPr>
          <w:ilvl w:val="0"/>
          <w:numId w:val="0"/>
        </w:numPr>
        <w:spacing w:line="240" w:lineRule="exact"/>
        <w:rPr>
          <w:sz w:val="24"/>
          <w:szCs w:val="24"/>
        </w:rPr>
      </w:pPr>
      <w:r w:rsidRPr="00FA3570">
        <w:rPr>
          <w:rFonts w:hint="eastAsia"/>
        </w:rPr>
        <w:t xml:space="preserve"> </w:t>
      </w:r>
      <w:r w:rsidRPr="00FA3570">
        <w:t xml:space="preserve">    </w:t>
      </w:r>
      <w:bookmarkStart w:id="76" w:name="_Toc135055468"/>
      <w:r w:rsidRPr="00FA3570">
        <w:rPr>
          <w:rFonts w:hint="eastAsia"/>
          <w:sz w:val="24"/>
          <w:szCs w:val="24"/>
        </w:rPr>
        <w:t>資料來源：教育部。</w:t>
      </w:r>
      <w:bookmarkEnd w:id="76"/>
    </w:p>
    <w:p w:rsidR="004B3EAD" w:rsidRPr="00FA3570" w:rsidRDefault="004B3EAD" w:rsidP="004B3EAD">
      <w:pPr>
        <w:spacing w:line="240" w:lineRule="exact"/>
      </w:pPr>
    </w:p>
    <w:p w:rsidR="004B3EAD" w:rsidRPr="00FA3570" w:rsidRDefault="004B3EAD" w:rsidP="004B3EAD">
      <w:pPr>
        <w:pStyle w:val="4"/>
        <w:numPr>
          <w:ilvl w:val="3"/>
          <w:numId w:val="1"/>
        </w:numPr>
      </w:pPr>
      <w:r w:rsidRPr="00FA3570">
        <w:rPr>
          <w:rFonts w:hint="eastAsia"/>
        </w:rPr>
        <w:t>吳寶春條款之碩士生，占整體碩士學制(含碩士班及碩士在職專班)招生的1%餘；107-111學年度統計數據如下：</w:t>
      </w:r>
    </w:p>
    <w:p w:rsidR="004B3EAD" w:rsidRPr="00FA3570" w:rsidRDefault="004B3EAD" w:rsidP="004B3EAD">
      <w:pPr>
        <w:pStyle w:val="a3"/>
        <w:jc w:val="center"/>
        <w:rPr>
          <w:b/>
        </w:rPr>
      </w:pPr>
      <w:bookmarkStart w:id="77" w:name="_Hlk135408200"/>
      <w:r w:rsidRPr="00FA3570">
        <w:rPr>
          <w:rFonts w:hint="eastAsia"/>
          <w:b/>
        </w:rPr>
        <w:t>107-111學年度吳寶春條款碩士學生占比情形</w:t>
      </w:r>
    </w:p>
    <w:tbl>
      <w:tblPr>
        <w:tblW w:w="4733" w:type="pct"/>
        <w:tblInd w:w="846" w:type="dxa"/>
        <w:tblCellMar>
          <w:left w:w="28" w:type="dxa"/>
          <w:right w:w="28" w:type="dxa"/>
        </w:tblCellMar>
        <w:tblLook w:val="04A0" w:firstRow="1" w:lastRow="0" w:firstColumn="1" w:lastColumn="0" w:noHBand="0" w:noVBand="1"/>
      </w:tblPr>
      <w:tblGrid>
        <w:gridCol w:w="1361"/>
        <w:gridCol w:w="2211"/>
        <w:gridCol w:w="2211"/>
        <w:gridCol w:w="2579"/>
      </w:tblGrid>
      <w:tr w:rsidR="00FA3570" w:rsidRPr="00FA3570" w:rsidTr="00A23709">
        <w:trPr>
          <w:trHeight w:val="720"/>
          <w:tblHeader/>
        </w:trPr>
        <w:tc>
          <w:tcPr>
            <w:tcW w:w="814"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rsidR="004B3EAD" w:rsidRPr="00FA3570" w:rsidRDefault="004B3EAD" w:rsidP="00A23709">
            <w:pPr>
              <w:widowControl/>
              <w:snapToGrid w:val="0"/>
              <w:spacing w:line="360" w:lineRule="exact"/>
              <w:jc w:val="center"/>
              <w:rPr>
                <w:rFonts w:hAnsi="標楷體" w:cs="新細明體"/>
                <w:b/>
                <w:bCs/>
                <w:kern w:val="0"/>
                <w:sz w:val="28"/>
                <w:szCs w:val="28"/>
              </w:rPr>
            </w:pPr>
            <w:r w:rsidRPr="00FA3570">
              <w:rPr>
                <w:rFonts w:hAnsi="標楷體" w:cs="新細明體" w:hint="eastAsia"/>
                <w:b/>
                <w:bCs/>
                <w:kern w:val="0"/>
                <w:sz w:val="28"/>
                <w:szCs w:val="28"/>
              </w:rPr>
              <w:t>學年度</w:t>
            </w:r>
          </w:p>
        </w:tc>
        <w:tc>
          <w:tcPr>
            <w:tcW w:w="1322"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rsidR="004B3EAD" w:rsidRPr="00FA3570" w:rsidRDefault="004B3EAD" w:rsidP="00A23709">
            <w:pPr>
              <w:widowControl/>
              <w:snapToGrid w:val="0"/>
              <w:spacing w:line="360" w:lineRule="exact"/>
              <w:jc w:val="center"/>
              <w:rPr>
                <w:rFonts w:hAnsi="標楷體" w:cs="新細明體"/>
                <w:b/>
                <w:bCs/>
                <w:kern w:val="0"/>
                <w:sz w:val="28"/>
                <w:szCs w:val="28"/>
              </w:rPr>
            </w:pPr>
            <w:r w:rsidRPr="00FA3570">
              <w:rPr>
                <w:rFonts w:hAnsi="標楷體" w:cs="新細明體" w:hint="eastAsia"/>
                <w:b/>
                <w:bCs/>
                <w:kern w:val="0"/>
                <w:sz w:val="28"/>
                <w:szCs w:val="28"/>
              </w:rPr>
              <w:t>碩士及碩士在職專班核定總名額</w:t>
            </w:r>
          </w:p>
        </w:tc>
        <w:tc>
          <w:tcPr>
            <w:tcW w:w="1322"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rsidR="004B3EAD" w:rsidRPr="00FA3570" w:rsidRDefault="004B3EAD" w:rsidP="00A23709">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吳寶春條款入學碩士之註冊人數</w:t>
            </w:r>
          </w:p>
        </w:tc>
        <w:tc>
          <w:tcPr>
            <w:tcW w:w="1542"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rsidR="004B3EAD" w:rsidRPr="00FA3570" w:rsidRDefault="004B3EAD" w:rsidP="00A23709">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占總核定名額比率</w:t>
            </w:r>
          </w:p>
        </w:tc>
      </w:tr>
      <w:tr w:rsidR="00FA3570" w:rsidRPr="00FA3570" w:rsidTr="00A23709">
        <w:trPr>
          <w:trHeight w:val="416"/>
        </w:trPr>
        <w:tc>
          <w:tcPr>
            <w:tcW w:w="814" w:type="pct"/>
            <w:vMerge/>
            <w:tcBorders>
              <w:top w:val="single" w:sz="4" w:space="0" w:color="auto"/>
              <w:left w:val="single" w:sz="4" w:space="0" w:color="auto"/>
              <w:bottom w:val="single" w:sz="4" w:space="0" w:color="auto"/>
              <w:right w:val="single" w:sz="4" w:space="0" w:color="auto"/>
            </w:tcBorders>
            <w:vAlign w:val="center"/>
            <w:hideMark/>
          </w:tcPr>
          <w:p w:rsidR="004B3EAD" w:rsidRPr="00FA3570" w:rsidRDefault="004B3EAD" w:rsidP="00A23709">
            <w:pPr>
              <w:widowControl/>
              <w:spacing w:line="360" w:lineRule="exact"/>
              <w:rPr>
                <w:rFonts w:hAnsi="標楷體" w:cs="新細明體"/>
                <w:b/>
                <w:bCs/>
                <w:kern w:val="0"/>
                <w:sz w:val="28"/>
                <w:szCs w:val="28"/>
              </w:rPr>
            </w:pPr>
          </w:p>
        </w:tc>
        <w:tc>
          <w:tcPr>
            <w:tcW w:w="1322" w:type="pct"/>
            <w:vMerge/>
            <w:tcBorders>
              <w:top w:val="single" w:sz="4" w:space="0" w:color="auto"/>
              <w:left w:val="single" w:sz="4" w:space="0" w:color="auto"/>
              <w:bottom w:val="single" w:sz="4" w:space="0" w:color="auto"/>
              <w:right w:val="single" w:sz="4" w:space="0" w:color="auto"/>
            </w:tcBorders>
            <w:vAlign w:val="center"/>
            <w:hideMark/>
          </w:tcPr>
          <w:p w:rsidR="004B3EAD" w:rsidRPr="00FA3570" w:rsidRDefault="004B3EAD" w:rsidP="00A23709">
            <w:pPr>
              <w:widowControl/>
              <w:spacing w:line="360" w:lineRule="exact"/>
              <w:rPr>
                <w:rFonts w:hAnsi="標楷體" w:cs="新細明體"/>
                <w:b/>
                <w:bCs/>
                <w:kern w:val="0"/>
                <w:sz w:val="28"/>
                <w:szCs w:val="28"/>
              </w:rPr>
            </w:pPr>
          </w:p>
        </w:tc>
        <w:tc>
          <w:tcPr>
            <w:tcW w:w="1322" w:type="pct"/>
            <w:vMerge/>
            <w:tcBorders>
              <w:top w:val="single" w:sz="4" w:space="0" w:color="auto"/>
              <w:left w:val="single" w:sz="4" w:space="0" w:color="auto"/>
              <w:bottom w:val="single" w:sz="4" w:space="0" w:color="auto"/>
              <w:right w:val="single" w:sz="4" w:space="0" w:color="auto"/>
            </w:tcBorders>
            <w:vAlign w:val="center"/>
            <w:hideMark/>
          </w:tcPr>
          <w:p w:rsidR="004B3EAD" w:rsidRPr="00FA3570" w:rsidRDefault="004B3EAD" w:rsidP="00A23709">
            <w:pPr>
              <w:widowControl/>
              <w:spacing w:line="360" w:lineRule="exact"/>
              <w:rPr>
                <w:rFonts w:hAnsi="標楷體" w:cs="新細明體"/>
                <w:kern w:val="0"/>
                <w:sz w:val="28"/>
                <w:szCs w:val="28"/>
              </w:rPr>
            </w:pPr>
          </w:p>
        </w:tc>
        <w:tc>
          <w:tcPr>
            <w:tcW w:w="1542" w:type="pct"/>
            <w:vMerge/>
            <w:tcBorders>
              <w:top w:val="single" w:sz="4" w:space="0" w:color="auto"/>
              <w:left w:val="single" w:sz="4" w:space="0" w:color="auto"/>
              <w:bottom w:val="single" w:sz="4" w:space="0" w:color="auto"/>
              <w:right w:val="single" w:sz="4" w:space="0" w:color="auto"/>
            </w:tcBorders>
            <w:vAlign w:val="center"/>
            <w:hideMark/>
          </w:tcPr>
          <w:p w:rsidR="004B3EAD" w:rsidRPr="00FA3570" w:rsidRDefault="004B3EAD" w:rsidP="00A23709">
            <w:pPr>
              <w:widowControl/>
              <w:spacing w:line="360" w:lineRule="exact"/>
              <w:rPr>
                <w:rFonts w:hAnsi="標楷體" w:cs="新細明體"/>
                <w:kern w:val="0"/>
                <w:sz w:val="28"/>
                <w:szCs w:val="28"/>
              </w:rPr>
            </w:pPr>
          </w:p>
        </w:tc>
      </w:tr>
      <w:tr w:rsidR="00FA3570" w:rsidRPr="00FA3570" w:rsidTr="00A23709">
        <w:trPr>
          <w:trHeight w:val="340"/>
        </w:trPr>
        <w:tc>
          <w:tcPr>
            <w:tcW w:w="814"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sz w:val="28"/>
                <w:szCs w:val="28"/>
              </w:rPr>
            </w:pPr>
            <w:r w:rsidRPr="00FA3570">
              <w:rPr>
                <w:rFonts w:hAnsi="標楷體" w:hint="eastAsia"/>
                <w:sz w:val="28"/>
                <w:szCs w:val="28"/>
              </w:rPr>
              <w:t>107</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74</w:t>
            </w:r>
            <w:r w:rsidRPr="00FA3570">
              <w:rPr>
                <w:rFonts w:hAnsi="標楷體"/>
                <w:sz w:val="28"/>
                <w:szCs w:val="28"/>
              </w:rPr>
              <w:t>,</w:t>
            </w:r>
            <w:r w:rsidRPr="00FA3570">
              <w:rPr>
                <w:rFonts w:hAnsi="標楷體" w:hint="eastAsia"/>
                <w:sz w:val="28"/>
                <w:szCs w:val="28"/>
              </w:rPr>
              <w:t>660</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751</w:t>
            </w:r>
          </w:p>
        </w:tc>
        <w:tc>
          <w:tcPr>
            <w:tcW w:w="154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b/>
                <w:sz w:val="28"/>
                <w:szCs w:val="28"/>
              </w:rPr>
            </w:pPr>
            <w:r w:rsidRPr="00FA3570">
              <w:rPr>
                <w:rFonts w:hAnsi="標楷體" w:hint="eastAsia"/>
                <w:b/>
                <w:sz w:val="28"/>
                <w:szCs w:val="28"/>
              </w:rPr>
              <w:t>1.01%</w:t>
            </w:r>
          </w:p>
        </w:tc>
      </w:tr>
      <w:tr w:rsidR="00FA3570" w:rsidRPr="00FA3570" w:rsidTr="00A23709">
        <w:trPr>
          <w:trHeight w:val="340"/>
        </w:trPr>
        <w:tc>
          <w:tcPr>
            <w:tcW w:w="814"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sz w:val="28"/>
                <w:szCs w:val="28"/>
              </w:rPr>
            </w:pPr>
            <w:r w:rsidRPr="00FA3570">
              <w:rPr>
                <w:rFonts w:hAnsi="標楷體" w:hint="eastAsia"/>
                <w:sz w:val="28"/>
                <w:szCs w:val="28"/>
              </w:rPr>
              <w:t>108</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72</w:t>
            </w:r>
            <w:r w:rsidRPr="00FA3570">
              <w:rPr>
                <w:rFonts w:hAnsi="標楷體"/>
                <w:sz w:val="28"/>
                <w:szCs w:val="28"/>
              </w:rPr>
              <w:t>,</w:t>
            </w:r>
            <w:r w:rsidRPr="00FA3570">
              <w:rPr>
                <w:rFonts w:hAnsi="標楷體" w:hint="eastAsia"/>
                <w:sz w:val="28"/>
                <w:szCs w:val="28"/>
              </w:rPr>
              <w:t>807</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969</w:t>
            </w:r>
          </w:p>
        </w:tc>
        <w:tc>
          <w:tcPr>
            <w:tcW w:w="154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b/>
                <w:sz w:val="28"/>
                <w:szCs w:val="28"/>
              </w:rPr>
            </w:pPr>
            <w:r w:rsidRPr="00FA3570">
              <w:rPr>
                <w:rFonts w:hAnsi="標楷體" w:hint="eastAsia"/>
                <w:b/>
                <w:sz w:val="28"/>
                <w:szCs w:val="28"/>
              </w:rPr>
              <w:t>1.33%</w:t>
            </w:r>
          </w:p>
        </w:tc>
      </w:tr>
      <w:tr w:rsidR="00FA3570" w:rsidRPr="00FA3570" w:rsidTr="00A23709">
        <w:trPr>
          <w:trHeight w:val="340"/>
        </w:trPr>
        <w:tc>
          <w:tcPr>
            <w:tcW w:w="814"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sz w:val="28"/>
                <w:szCs w:val="28"/>
              </w:rPr>
            </w:pPr>
            <w:r w:rsidRPr="00FA3570">
              <w:rPr>
                <w:rFonts w:hAnsi="標楷體" w:hint="eastAsia"/>
                <w:sz w:val="28"/>
                <w:szCs w:val="28"/>
              </w:rPr>
              <w:t>109</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71</w:t>
            </w:r>
            <w:r w:rsidRPr="00FA3570">
              <w:rPr>
                <w:rFonts w:hAnsi="標楷體"/>
                <w:sz w:val="28"/>
                <w:szCs w:val="28"/>
              </w:rPr>
              <w:t>,</w:t>
            </w:r>
            <w:r w:rsidRPr="00FA3570">
              <w:rPr>
                <w:rFonts w:hAnsi="標楷體" w:hint="eastAsia"/>
                <w:sz w:val="28"/>
                <w:szCs w:val="28"/>
              </w:rPr>
              <w:t>602</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857</w:t>
            </w:r>
          </w:p>
        </w:tc>
        <w:tc>
          <w:tcPr>
            <w:tcW w:w="154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b/>
                <w:sz w:val="28"/>
                <w:szCs w:val="28"/>
              </w:rPr>
            </w:pPr>
            <w:r w:rsidRPr="00FA3570">
              <w:rPr>
                <w:rFonts w:hAnsi="標楷體" w:hint="eastAsia"/>
                <w:b/>
                <w:sz w:val="28"/>
                <w:szCs w:val="28"/>
              </w:rPr>
              <w:t>1.20%</w:t>
            </w:r>
          </w:p>
        </w:tc>
      </w:tr>
      <w:tr w:rsidR="00FA3570" w:rsidRPr="00FA3570" w:rsidTr="00A23709">
        <w:trPr>
          <w:trHeight w:val="340"/>
        </w:trPr>
        <w:tc>
          <w:tcPr>
            <w:tcW w:w="814"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sz w:val="28"/>
                <w:szCs w:val="28"/>
              </w:rPr>
            </w:pPr>
            <w:r w:rsidRPr="00FA3570">
              <w:rPr>
                <w:rFonts w:hAnsi="標楷體" w:hint="eastAsia"/>
                <w:sz w:val="28"/>
                <w:szCs w:val="28"/>
              </w:rPr>
              <w:t>110</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70</w:t>
            </w:r>
            <w:r w:rsidRPr="00FA3570">
              <w:rPr>
                <w:rFonts w:hAnsi="標楷體"/>
                <w:sz w:val="28"/>
                <w:szCs w:val="28"/>
              </w:rPr>
              <w:t>,</w:t>
            </w:r>
            <w:r w:rsidRPr="00FA3570">
              <w:rPr>
                <w:rFonts w:hAnsi="標楷體" w:hint="eastAsia"/>
                <w:sz w:val="28"/>
                <w:szCs w:val="28"/>
              </w:rPr>
              <w:t>576</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867</w:t>
            </w:r>
          </w:p>
        </w:tc>
        <w:tc>
          <w:tcPr>
            <w:tcW w:w="154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b/>
                <w:sz w:val="28"/>
                <w:szCs w:val="28"/>
              </w:rPr>
            </w:pPr>
            <w:r w:rsidRPr="00FA3570">
              <w:rPr>
                <w:rFonts w:hAnsi="標楷體" w:hint="eastAsia"/>
                <w:b/>
                <w:sz w:val="28"/>
                <w:szCs w:val="28"/>
              </w:rPr>
              <w:t>1.23%</w:t>
            </w:r>
          </w:p>
        </w:tc>
      </w:tr>
      <w:tr w:rsidR="00FA3570" w:rsidRPr="00FA3570" w:rsidTr="00A23709">
        <w:trPr>
          <w:trHeight w:val="340"/>
        </w:trPr>
        <w:tc>
          <w:tcPr>
            <w:tcW w:w="814"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sz w:val="28"/>
                <w:szCs w:val="28"/>
              </w:rPr>
            </w:pPr>
            <w:r w:rsidRPr="00FA3570">
              <w:rPr>
                <w:rFonts w:hAnsi="標楷體" w:hint="eastAsia"/>
                <w:sz w:val="28"/>
                <w:szCs w:val="28"/>
              </w:rPr>
              <w:t>111</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70</w:t>
            </w:r>
            <w:r w:rsidRPr="00FA3570">
              <w:rPr>
                <w:rFonts w:hAnsi="標楷體"/>
                <w:sz w:val="28"/>
                <w:szCs w:val="28"/>
              </w:rPr>
              <w:t>,</w:t>
            </w:r>
            <w:r w:rsidRPr="00FA3570">
              <w:rPr>
                <w:rFonts w:hAnsi="標楷體" w:hint="eastAsia"/>
                <w:sz w:val="28"/>
                <w:szCs w:val="28"/>
              </w:rPr>
              <w:t>113</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857</w:t>
            </w:r>
          </w:p>
        </w:tc>
        <w:tc>
          <w:tcPr>
            <w:tcW w:w="154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b/>
                <w:sz w:val="28"/>
                <w:szCs w:val="28"/>
              </w:rPr>
            </w:pPr>
            <w:r w:rsidRPr="00FA3570">
              <w:rPr>
                <w:rFonts w:hAnsi="標楷體" w:hint="eastAsia"/>
                <w:b/>
                <w:sz w:val="28"/>
                <w:szCs w:val="28"/>
              </w:rPr>
              <w:t>1.22%</w:t>
            </w:r>
          </w:p>
        </w:tc>
      </w:tr>
      <w:tr w:rsidR="00FA3570" w:rsidRPr="00FA3570" w:rsidTr="00A23709">
        <w:trPr>
          <w:trHeight w:val="340"/>
        </w:trPr>
        <w:tc>
          <w:tcPr>
            <w:tcW w:w="814"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sz w:val="28"/>
                <w:szCs w:val="28"/>
              </w:rPr>
            </w:pPr>
            <w:r w:rsidRPr="00FA3570">
              <w:rPr>
                <w:rFonts w:hAnsi="標楷體" w:hint="eastAsia"/>
                <w:sz w:val="28"/>
                <w:szCs w:val="28"/>
              </w:rPr>
              <w:t>小計</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359</w:t>
            </w:r>
            <w:r w:rsidRPr="00FA3570">
              <w:rPr>
                <w:rFonts w:hAnsi="標楷體"/>
                <w:sz w:val="28"/>
                <w:szCs w:val="28"/>
              </w:rPr>
              <w:t>,</w:t>
            </w:r>
            <w:r w:rsidRPr="00FA3570">
              <w:rPr>
                <w:rFonts w:hAnsi="標楷體" w:hint="eastAsia"/>
                <w:sz w:val="28"/>
                <w:szCs w:val="28"/>
              </w:rPr>
              <w:t>758</w:t>
            </w:r>
          </w:p>
        </w:tc>
        <w:tc>
          <w:tcPr>
            <w:tcW w:w="132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sz w:val="28"/>
                <w:szCs w:val="28"/>
              </w:rPr>
            </w:pPr>
            <w:r w:rsidRPr="00FA3570">
              <w:rPr>
                <w:rFonts w:hAnsi="標楷體" w:hint="eastAsia"/>
                <w:sz w:val="28"/>
                <w:szCs w:val="28"/>
              </w:rPr>
              <w:t>4</w:t>
            </w:r>
            <w:r w:rsidRPr="00FA3570">
              <w:rPr>
                <w:rFonts w:hAnsi="標楷體"/>
                <w:sz w:val="28"/>
                <w:szCs w:val="28"/>
              </w:rPr>
              <w:t>,</w:t>
            </w:r>
            <w:r w:rsidRPr="00FA3570">
              <w:rPr>
                <w:rFonts w:hAnsi="標楷體" w:hint="eastAsia"/>
                <w:sz w:val="28"/>
                <w:szCs w:val="28"/>
              </w:rPr>
              <w:t>301</w:t>
            </w:r>
          </w:p>
        </w:tc>
        <w:tc>
          <w:tcPr>
            <w:tcW w:w="154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right"/>
              <w:rPr>
                <w:rFonts w:hAnsi="標楷體"/>
                <w:b/>
                <w:sz w:val="28"/>
                <w:szCs w:val="28"/>
              </w:rPr>
            </w:pPr>
            <w:r w:rsidRPr="00FA3570">
              <w:rPr>
                <w:rFonts w:hAnsi="標楷體" w:hint="eastAsia"/>
                <w:b/>
                <w:sz w:val="28"/>
                <w:szCs w:val="28"/>
              </w:rPr>
              <w:t>1.20%</w:t>
            </w:r>
          </w:p>
        </w:tc>
      </w:tr>
    </w:tbl>
    <w:p w:rsidR="004B3EAD" w:rsidRPr="00FA3570" w:rsidRDefault="004B3EAD" w:rsidP="004B3EAD">
      <w:pPr>
        <w:pStyle w:val="af7"/>
        <w:snapToGrid w:val="0"/>
        <w:spacing w:line="240" w:lineRule="exact"/>
        <w:ind w:leftChars="0" w:left="567" w:firstLineChars="100" w:firstLine="260"/>
        <w:rPr>
          <w:rFonts w:hAnsi="Arial"/>
          <w:bCs/>
          <w:kern w:val="32"/>
          <w:sz w:val="24"/>
          <w:szCs w:val="24"/>
        </w:rPr>
      </w:pPr>
      <w:proofErr w:type="gramStart"/>
      <w:r w:rsidRPr="00FA3570">
        <w:rPr>
          <w:rFonts w:hAnsi="Arial" w:hint="eastAsia"/>
          <w:bCs/>
          <w:kern w:val="32"/>
          <w:sz w:val="24"/>
          <w:szCs w:val="24"/>
        </w:rPr>
        <w:t>註</w:t>
      </w:r>
      <w:proofErr w:type="gramEnd"/>
      <w:r w:rsidRPr="00FA3570">
        <w:rPr>
          <w:rFonts w:hAnsi="Arial" w:hint="eastAsia"/>
          <w:bCs/>
          <w:kern w:val="32"/>
          <w:sz w:val="24"/>
          <w:szCs w:val="24"/>
        </w:rPr>
        <w:t>：</w:t>
      </w:r>
      <w:r w:rsidRPr="00FA3570">
        <w:rPr>
          <w:rFonts w:hAnsi="標楷體" w:hint="eastAsia"/>
          <w:sz w:val="24"/>
          <w:szCs w:val="24"/>
        </w:rPr>
        <w:t>資料來源為教育部。</w:t>
      </w:r>
      <w:bookmarkEnd w:id="77"/>
      <w:r w:rsidRPr="00FA3570">
        <w:rPr>
          <w:rFonts w:hAnsi="標楷體" w:hint="eastAsia"/>
          <w:sz w:val="24"/>
          <w:szCs w:val="24"/>
        </w:rPr>
        <w:t>另</w:t>
      </w:r>
      <w:r w:rsidRPr="00FA3570">
        <w:rPr>
          <w:rFonts w:hAnsi="Arial" w:hint="eastAsia"/>
          <w:bCs/>
          <w:kern w:val="32"/>
          <w:sz w:val="24"/>
          <w:szCs w:val="24"/>
        </w:rPr>
        <w:t>教育部表示，因部分學校更新111學年度註冊人數，另因部分學校有重複計算或誤植，</w:t>
      </w:r>
      <w:proofErr w:type="gramStart"/>
      <w:r w:rsidRPr="00FA3570">
        <w:rPr>
          <w:rFonts w:hAnsi="Arial" w:hint="eastAsia"/>
          <w:bCs/>
          <w:kern w:val="32"/>
          <w:sz w:val="24"/>
          <w:szCs w:val="24"/>
        </w:rPr>
        <w:t>爰</w:t>
      </w:r>
      <w:proofErr w:type="gramEnd"/>
      <w:r w:rsidRPr="00FA3570">
        <w:rPr>
          <w:rFonts w:hAnsi="Arial" w:hint="eastAsia"/>
          <w:bCs/>
          <w:kern w:val="32"/>
          <w:sz w:val="24"/>
          <w:szCs w:val="24"/>
        </w:rPr>
        <w:t>修正「入學大學同等學力認定標準」第7條碩士班註冊人數為</w:t>
      </w:r>
      <w:r w:rsidRPr="00FA3570">
        <w:rPr>
          <w:rFonts w:hAnsi="Arial"/>
          <w:bCs/>
          <w:kern w:val="32"/>
          <w:sz w:val="24"/>
          <w:szCs w:val="24"/>
        </w:rPr>
        <w:t>4,301</w:t>
      </w:r>
      <w:r w:rsidRPr="00FA3570">
        <w:rPr>
          <w:rFonts w:hAnsi="Arial" w:hint="eastAsia"/>
          <w:bCs/>
          <w:kern w:val="32"/>
          <w:sz w:val="24"/>
          <w:szCs w:val="24"/>
        </w:rPr>
        <w:t xml:space="preserve">人。   </w:t>
      </w:r>
    </w:p>
    <w:p w:rsidR="004B3EAD" w:rsidRPr="00FA3570" w:rsidRDefault="004B3EAD" w:rsidP="004B3EAD">
      <w:pPr>
        <w:pStyle w:val="af7"/>
        <w:snapToGrid w:val="0"/>
        <w:spacing w:line="240" w:lineRule="exact"/>
        <w:ind w:leftChars="0" w:left="567" w:firstLineChars="100" w:firstLine="260"/>
        <w:rPr>
          <w:rFonts w:hAnsi="Arial"/>
          <w:bCs/>
          <w:kern w:val="32"/>
          <w:sz w:val="24"/>
          <w:szCs w:val="24"/>
        </w:rPr>
      </w:pPr>
      <w:r w:rsidRPr="00FA3570">
        <w:rPr>
          <w:rFonts w:hAnsi="Arial" w:hint="eastAsia"/>
          <w:bCs/>
          <w:kern w:val="32"/>
          <w:sz w:val="24"/>
          <w:szCs w:val="24"/>
        </w:rPr>
        <w:t xml:space="preserve">   </w:t>
      </w:r>
    </w:p>
    <w:p w:rsidR="004B3EAD" w:rsidRPr="00FA3570" w:rsidRDefault="004B3EAD" w:rsidP="004B3EAD">
      <w:pPr>
        <w:pStyle w:val="4"/>
        <w:numPr>
          <w:ilvl w:val="3"/>
          <w:numId w:val="1"/>
        </w:numPr>
      </w:pPr>
      <w:r w:rsidRPr="00FA3570">
        <w:rPr>
          <w:rFonts w:hint="eastAsia"/>
        </w:rPr>
        <w:t>查4</w:t>
      </w:r>
      <w:r w:rsidRPr="00FA3570">
        <w:t>,</w:t>
      </w:r>
      <w:r w:rsidRPr="00FA3570">
        <w:rPr>
          <w:rFonts w:hint="eastAsia"/>
        </w:rPr>
        <w:t>301名碩士階段的吳寶春條款學生，有3</w:t>
      </w:r>
      <w:r w:rsidRPr="00FA3570">
        <w:t>,</w:t>
      </w:r>
      <w:r w:rsidRPr="00FA3570">
        <w:rPr>
          <w:rFonts w:hint="eastAsia"/>
        </w:rPr>
        <w:t>395人之入學前最高教育階段/學歷為「高中職」，占78.9%。</w:t>
      </w:r>
      <w:proofErr w:type="gramStart"/>
      <w:r w:rsidRPr="00FA3570">
        <w:rPr>
          <w:rFonts w:hint="eastAsia"/>
        </w:rPr>
        <w:t>此外，</w:t>
      </w:r>
      <w:proofErr w:type="gramEnd"/>
      <w:r w:rsidRPr="00FA3570">
        <w:rPr>
          <w:rFonts w:hint="eastAsia"/>
        </w:rPr>
        <w:t>入學前最高教育階段/學歷為「國小」者，共有50人(一般大學37人、技專校院13人)，占1.16%(如下表)。</w:t>
      </w:r>
      <w:proofErr w:type="gramStart"/>
      <w:r w:rsidRPr="00FA3570">
        <w:rPr>
          <w:rFonts w:hint="eastAsia"/>
        </w:rPr>
        <w:t>惟</w:t>
      </w:r>
      <w:proofErr w:type="gramEnd"/>
      <w:r w:rsidRPr="00FA3570">
        <w:rPr>
          <w:rFonts w:hint="eastAsia"/>
        </w:rPr>
        <w:t>教育部強調，適用吳寶春條款招生之學校，</w:t>
      </w:r>
      <w:r w:rsidRPr="00FA3570">
        <w:rPr>
          <w:rFonts w:hint="eastAsia"/>
          <w:u w:val="single"/>
        </w:rPr>
        <w:t>多數以報考學生在相關領域之經歷為評量標準</w:t>
      </w:r>
      <w:r w:rsidRPr="00FA3570">
        <w:rPr>
          <w:rFonts w:hint="eastAsia"/>
        </w:rPr>
        <w:t>，並非以其入學前之學歷為認定標準，爰有關吳寶春條款學生入學前最高學歷為「高中職」一節，係為各學校於學生註冊入</w:t>
      </w:r>
      <w:r w:rsidRPr="00FA3570">
        <w:rPr>
          <w:rFonts w:hint="eastAsia"/>
        </w:rPr>
        <w:lastRenderedPageBreak/>
        <w:t>學後所建置學生基本資料。</w:t>
      </w:r>
    </w:p>
    <w:p w:rsidR="004B3EAD" w:rsidRPr="00FA3570" w:rsidRDefault="004B3EAD" w:rsidP="004B3EAD">
      <w:pPr>
        <w:pStyle w:val="a3"/>
        <w:jc w:val="center"/>
        <w:rPr>
          <w:b/>
        </w:rPr>
      </w:pPr>
      <w:r w:rsidRPr="00FA3570">
        <w:rPr>
          <w:rFonts w:hint="eastAsia"/>
          <w:b/>
        </w:rPr>
        <w:t>吳寶春條款學生入學前最高學歷分析</w:t>
      </w:r>
    </w:p>
    <w:tbl>
      <w:tblPr>
        <w:tblW w:w="5537" w:type="pct"/>
        <w:tblInd w:w="-289" w:type="dxa"/>
        <w:tblLayout w:type="fixed"/>
        <w:tblCellMar>
          <w:left w:w="28" w:type="dxa"/>
          <w:right w:w="28" w:type="dxa"/>
        </w:tblCellMar>
        <w:tblLook w:val="04A0" w:firstRow="1" w:lastRow="0" w:firstColumn="1" w:lastColumn="0" w:noHBand="0" w:noVBand="1"/>
      </w:tblPr>
      <w:tblGrid>
        <w:gridCol w:w="1416"/>
        <w:gridCol w:w="992"/>
        <w:gridCol w:w="708"/>
        <w:gridCol w:w="714"/>
        <w:gridCol w:w="708"/>
        <w:gridCol w:w="849"/>
        <w:gridCol w:w="818"/>
        <w:gridCol w:w="697"/>
        <w:gridCol w:w="751"/>
        <w:gridCol w:w="712"/>
        <w:gridCol w:w="708"/>
        <w:gridCol w:w="710"/>
      </w:tblGrid>
      <w:tr w:rsidR="00FA3570" w:rsidRPr="00FA3570" w:rsidTr="00A23709">
        <w:trPr>
          <w:trHeight w:val="340"/>
          <w:tblHeader/>
        </w:trPr>
        <w:tc>
          <w:tcPr>
            <w:tcW w:w="723" w:type="pct"/>
            <w:vMerge w:val="restart"/>
            <w:tcBorders>
              <w:top w:val="single" w:sz="4" w:space="0" w:color="auto"/>
              <w:left w:val="single" w:sz="4" w:space="0" w:color="auto"/>
              <w:bottom w:val="single" w:sz="4" w:space="0" w:color="000000"/>
              <w:right w:val="single" w:sz="4" w:space="0" w:color="auto"/>
            </w:tcBorders>
            <w:shd w:val="clear" w:color="F2F2F2" w:fill="D9E1F2"/>
            <w:vAlign w:val="center"/>
            <w:hideMark/>
          </w:tcPr>
          <w:p w:rsidR="004B3EAD" w:rsidRPr="00FA3570" w:rsidRDefault="004B3EAD" w:rsidP="00A23709">
            <w:pPr>
              <w:widowControl/>
              <w:snapToGrid w:val="0"/>
              <w:spacing w:line="360" w:lineRule="exact"/>
              <w:jc w:val="center"/>
              <w:rPr>
                <w:rFonts w:hAnsi="標楷體" w:cs="新細明體"/>
                <w:b/>
                <w:bCs/>
                <w:kern w:val="0"/>
                <w:sz w:val="28"/>
                <w:szCs w:val="28"/>
              </w:rPr>
            </w:pPr>
            <w:r w:rsidRPr="00FA3570">
              <w:rPr>
                <w:rFonts w:hAnsi="標楷體" w:cs="新細明體" w:hint="eastAsia"/>
                <w:b/>
                <w:bCs/>
                <w:kern w:val="0"/>
                <w:sz w:val="28"/>
                <w:szCs w:val="28"/>
              </w:rPr>
              <w:t>學校類別</w:t>
            </w:r>
          </w:p>
        </w:tc>
        <w:tc>
          <w:tcPr>
            <w:tcW w:w="507" w:type="pct"/>
            <w:vMerge w:val="restart"/>
            <w:tcBorders>
              <w:top w:val="single" w:sz="4" w:space="0" w:color="auto"/>
              <w:left w:val="single" w:sz="4" w:space="0" w:color="auto"/>
              <w:bottom w:val="single" w:sz="4" w:space="0" w:color="000000"/>
              <w:right w:val="single" w:sz="4" w:space="0" w:color="auto"/>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註冊</w:t>
            </w:r>
          </w:p>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人數</w:t>
            </w:r>
          </w:p>
        </w:tc>
        <w:tc>
          <w:tcPr>
            <w:tcW w:w="727" w:type="pct"/>
            <w:gridSpan w:val="2"/>
            <w:tcBorders>
              <w:top w:val="single" w:sz="4" w:space="0" w:color="auto"/>
              <w:left w:val="nil"/>
              <w:bottom w:val="single" w:sz="4" w:space="0" w:color="auto"/>
              <w:right w:val="single" w:sz="4" w:space="0" w:color="000000"/>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國小</w:t>
            </w:r>
          </w:p>
        </w:tc>
        <w:tc>
          <w:tcPr>
            <w:tcW w:w="796" w:type="pct"/>
            <w:gridSpan w:val="2"/>
            <w:tcBorders>
              <w:top w:val="single" w:sz="4" w:space="0" w:color="auto"/>
              <w:left w:val="nil"/>
              <w:bottom w:val="single" w:sz="4" w:space="0" w:color="auto"/>
              <w:right w:val="single" w:sz="4" w:space="0" w:color="000000"/>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國中</w:t>
            </w:r>
          </w:p>
        </w:tc>
        <w:tc>
          <w:tcPr>
            <w:tcW w:w="774" w:type="pct"/>
            <w:gridSpan w:val="2"/>
            <w:tcBorders>
              <w:top w:val="single" w:sz="4" w:space="0" w:color="auto"/>
              <w:left w:val="nil"/>
              <w:bottom w:val="single" w:sz="4" w:space="0" w:color="auto"/>
              <w:right w:val="single" w:sz="4" w:space="0" w:color="000000"/>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高中/職</w:t>
            </w:r>
          </w:p>
        </w:tc>
        <w:tc>
          <w:tcPr>
            <w:tcW w:w="748" w:type="pct"/>
            <w:gridSpan w:val="2"/>
            <w:tcBorders>
              <w:top w:val="single" w:sz="4" w:space="0" w:color="auto"/>
              <w:left w:val="nil"/>
              <w:bottom w:val="single" w:sz="4" w:space="0" w:color="auto"/>
              <w:right w:val="single" w:sz="4" w:space="0" w:color="000000"/>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專科</w:t>
            </w:r>
          </w:p>
        </w:tc>
        <w:tc>
          <w:tcPr>
            <w:tcW w:w="725" w:type="pct"/>
            <w:gridSpan w:val="2"/>
            <w:tcBorders>
              <w:top w:val="single" w:sz="4" w:space="0" w:color="auto"/>
              <w:left w:val="nil"/>
              <w:bottom w:val="single" w:sz="4" w:space="0" w:color="auto"/>
              <w:right w:val="single" w:sz="4" w:space="0" w:color="000000"/>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其他*</w:t>
            </w:r>
            <w:proofErr w:type="gramStart"/>
            <w:r w:rsidRPr="00FA3570">
              <w:rPr>
                <w:rFonts w:hAnsi="標楷體" w:cs="新細明體" w:hint="eastAsia"/>
                <w:kern w:val="0"/>
                <w:sz w:val="28"/>
                <w:szCs w:val="28"/>
              </w:rPr>
              <w:t>註</w:t>
            </w:r>
            <w:proofErr w:type="gramEnd"/>
            <w:r w:rsidRPr="00FA3570">
              <w:rPr>
                <w:rFonts w:hAnsi="標楷體" w:cs="新細明體" w:hint="eastAsia"/>
                <w:kern w:val="0"/>
                <w:sz w:val="28"/>
                <w:szCs w:val="28"/>
              </w:rPr>
              <w:t>1</w:t>
            </w:r>
          </w:p>
        </w:tc>
      </w:tr>
      <w:tr w:rsidR="00FA3570" w:rsidRPr="00FA3570" w:rsidTr="00A23709">
        <w:trPr>
          <w:trHeight w:val="620"/>
          <w:tblHeader/>
        </w:trPr>
        <w:tc>
          <w:tcPr>
            <w:tcW w:w="723" w:type="pct"/>
            <w:vMerge/>
            <w:tcBorders>
              <w:top w:val="single" w:sz="4" w:space="0" w:color="auto"/>
              <w:left w:val="single" w:sz="4" w:space="0" w:color="auto"/>
              <w:bottom w:val="single" w:sz="4" w:space="0" w:color="000000"/>
              <w:right w:val="single" w:sz="4" w:space="0" w:color="auto"/>
            </w:tcBorders>
            <w:vAlign w:val="center"/>
            <w:hideMark/>
          </w:tcPr>
          <w:p w:rsidR="004B3EAD" w:rsidRPr="00FA3570" w:rsidRDefault="004B3EAD" w:rsidP="00A23709">
            <w:pPr>
              <w:widowControl/>
              <w:snapToGrid w:val="0"/>
              <w:spacing w:line="360" w:lineRule="exact"/>
              <w:rPr>
                <w:rFonts w:hAnsi="標楷體" w:cs="新細明體"/>
                <w:b/>
                <w:bCs/>
                <w:kern w:val="0"/>
                <w:sz w:val="28"/>
                <w:szCs w:val="28"/>
              </w:rPr>
            </w:pPr>
          </w:p>
        </w:tc>
        <w:tc>
          <w:tcPr>
            <w:tcW w:w="507" w:type="pct"/>
            <w:vMerge/>
            <w:tcBorders>
              <w:top w:val="single" w:sz="4" w:space="0" w:color="auto"/>
              <w:left w:val="single" w:sz="4" w:space="0" w:color="auto"/>
              <w:bottom w:val="single" w:sz="4" w:space="0" w:color="000000"/>
              <w:right w:val="single" w:sz="4" w:space="0" w:color="auto"/>
            </w:tcBorders>
            <w:vAlign w:val="center"/>
            <w:hideMark/>
          </w:tcPr>
          <w:p w:rsidR="004B3EAD" w:rsidRPr="00FA3570" w:rsidRDefault="004B3EAD" w:rsidP="00A23709">
            <w:pPr>
              <w:widowControl/>
              <w:snapToGrid w:val="0"/>
              <w:spacing w:line="360" w:lineRule="exact"/>
              <w:rPr>
                <w:rFonts w:hAnsi="標楷體" w:cs="新細明體"/>
                <w:kern w:val="0"/>
                <w:sz w:val="28"/>
                <w:szCs w:val="28"/>
              </w:rPr>
            </w:pPr>
          </w:p>
        </w:tc>
        <w:tc>
          <w:tcPr>
            <w:tcW w:w="362" w:type="pct"/>
            <w:tcBorders>
              <w:top w:val="nil"/>
              <w:left w:val="nil"/>
              <w:bottom w:val="single" w:sz="4" w:space="0" w:color="auto"/>
              <w:right w:val="single" w:sz="4" w:space="0" w:color="auto"/>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學生數(a1)</w:t>
            </w:r>
          </w:p>
        </w:tc>
        <w:tc>
          <w:tcPr>
            <w:tcW w:w="364" w:type="pct"/>
            <w:tcBorders>
              <w:top w:val="nil"/>
              <w:left w:val="nil"/>
              <w:bottom w:val="single" w:sz="4" w:space="0" w:color="auto"/>
              <w:right w:val="single" w:sz="4" w:space="0" w:color="auto"/>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占比(a1/A)</w:t>
            </w:r>
          </w:p>
        </w:tc>
        <w:tc>
          <w:tcPr>
            <w:tcW w:w="362" w:type="pct"/>
            <w:tcBorders>
              <w:top w:val="nil"/>
              <w:left w:val="nil"/>
              <w:bottom w:val="single" w:sz="4" w:space="0" w:color="auto"/>
              <w:right w:val="single" w:sz="4" w:space="0" w:color="auto"/>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學生數(a2)</w:t>
            </w:r>
          </w:p>
        </w:tc>
        <w:tc>
          <w:tcPr>
            <w:tcW w:w="434" w:type="pct"/>
            <w:tcBorders>
              <w:top w:val="nil"/>
              <w:left w:val="nil"/>
              <w:bottom w:val="single" w:sz="4" w:space="0" w:color="auto"/>
              <w:right w:val="single" w:sz="4" w:space="0" w:color="auto"/>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占比(a2/A)</w:t>
            </w:r>
          </w:p>
        </w:tc>
        <w:tc>
          <w:tcPr>
            <w:tcW w:w="418" w:type="pct"/>
            <w:tcBorders>
              <w:top w:val="nil"/>
              <w:left w:val="nil"/>
              <w:bottom w:val="single" w:sz="4" w:space="0" w:color="auto"/>
              <w:right w:val="single" w:sz="4" w:space="0" w:color="auto"/>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學生數(a3)</w:t>
            </w:r>
          </w:p>
        </w:tc>
        <w:tc>
          <w:tcPr>
            <w:tcW w:w="356" w:type="pct"/>
            <w:tcBorders>
              <w:top w:val="nil"/>
              <w:left w:val="nil"/>
              <w:bottom w:val="single" w:sz="4" w:space="0" w:color="auto"/>
              <w:right w:val="single" w:sz="4" w:space="0" w:color="auto"/>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占比(a3/A)</w:t>
            </w:r>
          </w:p>
        </w:tc>
        <w:tc>
          <w:tcPr>
            <w:tcW w:w="384" w:type="pct"/>
            <w:tcBorders>
              <w:top w:val="nil"/>
              <w:left w:val="nil"/>
              <w:bottom w:val="single" w:sz="4" w:space="0" w:color="auto"/>
              <w:right w:val="single" w:sz="4" w:space="0" w:color="auto"/>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學生數(a4)</w:t>
            </w:r>
          </w:p>
        </w:tc>
        <w:tc>
          <w:tcPr>
            <w:tcW w:w="363" w:type="pct"/>
            <w:tcBorders>
              <w:top w:val="nil"/>
              <w:left w:val="nil"/>
              <w:bottom w:val="single" w:sz="4" w:space="0" w:color="auto"/>
              <w:right w:val="single" w:sz="4" w:space="0" w:color="auto"/>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占比(a4/A)</w:t>
            </w:r>
          </w:p>
        </w:tc>
        <w:tc>
          <w:tcPr>
            <w:tcW w:w="362" w:type="pct"/>
            <w:tcBorders>
              <w:top w:val="nil"/>
              <w:left w:val="nil"/>
              <w:bottom w:val="single" w:sz="4" w:space="0" w:color="auto"/>
              <w:right w:val="single" w:sz="4" w:space="0" w:color="auto"/>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學生數(a5)</w:t>
            </w:r>
          </w:p>
        </w:tc>
        <w:tc>
          <w:tcPr>
            <w:tcW w:w="362" w:type="pct"/>
            <w:tcBorders>
              <w:top w:val="nil"/>
              <w:left w:val="nil"/>
              <w:bottom w:val="single" w:sz="4" w:space="0" w:color="auto"/>
              <w:right w:val="single" w:sz="4" w:space="0" w:color="auto"/>
            </w:tcBorders>
            <w:shd w:val="clear" w:color="FFD966" w:fill="D9E1F2"/>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占比(a5/A)</w:t>
            </w:r>
          </w:p>
        </w:tc>
      </w:tr>
      <w:tr w:rsidR="00FA3570" w:rsidRPr="00FA3570" w:rsidTr="00A23709">
        <w:trPr>
          <w:trHeight w:val="83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公立大學</w:t>
            </w:r>
          </w:p>
        </w:tc>
        <w:tc>
          <w:tcPr>
            <w:tcW w:w="507"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981</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12</w:t>
            </w:r>
          </w:p>
        </w:tc>
        <w:tc>
          <w:tcPr>
            <w:tcW w:w="36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1.22%</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106</w:t>
            </w:r>
          </w:p>
        </w:tc>
        <w:tc>
          <w:tcPr>
            <w:tcW w:w="43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10.81%</w:t>
            </w:r>
          </w:p>
        </w:tc>
        <w:tc>
          <w:tcPr>
            <w:tcW w:w="418"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778</w:t>
            </w:r>
          </w:p>
        </w:tc>
        <w:tc>
          <w:tcPr>
            <w:tcW w:w="356"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79.31%</w:t>
            </w:r>
          </w:p>
        </w:tc>
        <w:tc>
          <w:tcPr>
            <w:tcW w:w="38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68</w:t>
            </w:r>
          </w:p>
        </w:tc>
        <w:tc>
          <w:tcPr>
            <w:tcW w:w="363"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6.93%</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17</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1.73%</w:t>
            </w:r>
          </w:p>
        </w:tc>
      </w:tr>
      <w:tr w:rsidR="00FA3570" w:rsidRPr="00FA3570" w:rsidTr="00A23709">
        <w:trPr>
          <w:trHeight w:val="83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私立大學</w:t>
            </w:r>
          </w:p>
        </w:tc>
        <w:tc>
          <w:tcPr>
            <w:tcW w:w="507"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w:t>
            </w:r>
            <w:r w:rsidRPr="00FA3570">
              <w:rPr>
                <w:rFonts w:hAnsi="標楷體" w:cs="新細明體"/>
                <w:kern w:val="0"/>
                <w:sz w:val="28"/>
                <w:szCs w:val="28"/>
              </w:rPr>
              <w:t>,</w:t>
            </w:r>
            <w:r w:rsidRPr="00FA3570">
              <w:rPr>
                <w:rFonts w:hAnsi="標楷體" w:cs="新細明體" w:hint="eastAsia"/>
                <w:kern w:val="0"/>
                <w:sz w:val="28"/>
                <w:szCs w:val="28"/>
              </w:rPr>
              <w:t>924</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25</w:t>
            </w:r>
          </w:p>
        </w:tc>
        <w:tc>
          <w:tcPr>
            <w:tcW w:w="36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1.30%</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111</w:t>
            </w:r>
          </w:p>
        </w:tc>
        <w:tc>
          <w:tcPr>
            <w:tcW w:w="43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5.77%</w:t>
            </w:r>
          </w:p>
        </w:tc>
        <w:tc>
          <w:tcPr>
            <w:tcW w:w="418"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w:t>
            </w:r>
            <w:r w:rsidRPr="00FA3570">
              <w:rPr>
                <w:rFonts w:hAnsi="標楷體" w:cs="新細明體"/>
                <w:kern w:val="0"/>
                <w:sz w:val="28"/>
                <w:szCs w:val="28"/>
              </w:rPr>
              <w:t>,</w:t>
            </w:r>
            <w:r w:rsidRPr="00FA3570">
              <w:rPr>
                <w:rFonts w:hAnsi="標楷體" w:cs="新細明體" w:hint="eastAsia"/>
                <w:kern w:val="0"/>
                <w:sz w:val="28"/>
                <w:szCs w:val="28"/>
              </w:rPr>
              <w:t>488</w:t>
            </w:r>
          </w:p>
        </w:tc>
        <w:tc>
          <w:tcPr>
            <w:tcW w:w="356"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77.34%</w:t>
            </w:r>
          </w:p>
        </w:tc>
        <w:tc>
          <w:tcPr>
            <w:tcW w:w="38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113</w:t>
            </w:r>
          </w:p>
        </w:tc>
        <w:tc>
          <w:tcPr>
            <w:tcW w:w="363"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5.87%</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187</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9.72%</w:t>
            </w:r>
          </w:p>
        </w:tc>
      </w:tr>
      <w:tr w:rsidR="00FA3570" w:rsidRPr="00FA3570" w:rsidTr="00A23709">
        <w:trPr>
          <w:trHeight w:val="83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公私立大學小計</w:t>
            </w:r>
          </w:p>
        </w:tc>
        <w:tc>
          <w:tcPr>
            <w:tcW w:w="507"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2</w:t>
            </w:r>
            <w:r w:rsidRPr="00FA3570">
              <w:rPr>
                <w:rFonts w:hAnsi="標楷體" w:cs="新細明體"/>
                <w:kern w:val="0"/>
                <w:sz w:val="28"/>
                <w:szCs w:val="28"/>
              </w:rPr>
              <w:t>,</w:t>
            </w:r>
            <w:r w:rsidRPr="00FA3570">
              <w:rPr>
                <w:rFonts w:hAnsi="標楷體" w:cs="新細明體" w:hint="eastAsia"/>
                <w:kern w:val="0"/>
                <w:sz w:val="28"/>
                <w:szCs w:val="28"/>
              </w:rPr>
              <w:t>905</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37</w:t>
            </w:r>
          </w:p>
        </w:tc>
        <w:tc>
          <w:tcPr>
            <w:tcW w:w="36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1.27%</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217</w:t>
            </w:r>
          </w:p>
        </w:tc>
        <w:tc>
          <w:tcPr>
            <w:tcW w:w="43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7.47%</w:t>
            </w:r>
          </w:p>
        </w:tc>
        <w:tc>
          <w:tcPr>
            <w:tcW w:w="418"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2</w:t>
            </w:r>
            <w:r w:rsidRPr="00FA3570">
              <w:rPr>
                <w:rFonts w:hAnsi="標楷體" w:cs="新細明體"/>
                <w:kern w:val="0"/>
                <w:sz w:val="28"/>
                <w:szCs w:val="28"/>
              </w:rPr>
              <w:t>,</w:t>
            </w:r>
            <w:r w:rsidRPr="00FA3570">
              <w:rPr>
                <w:rFonts w:hAnsi="標楷體" w:cs="新細明體" w:hint="eastAsia"/>
                <w:kern w:val="0"/>
                <w:sz w:val="28"/>
                <w:szCs w:val="28"/>
              </w:rPr>
              <w:t>266</w:t>
            </w:r>
          </w:p>
        </w:tc>
        <w:tc>
          <w:tcPr>
            <w:tcW w:w="356"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78.00%</w:t>
            </w:r>
          </w:p>
        </w:tc>
        <w:tc>
          <w:tcPr>
            <w:tcW w:w="38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181</w:t>
            </w:r>
          </w:p>
        </w:tc>
        <w:tc>
          <w:tcPr>
            <w:tcW w:w="363"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6.23%</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204</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7.02%</w:t>
            </w:r>
          </w:p>
        </w:tc>
      </w:tr>
      <w:tr w:rsidR="00FA3570" w:rsidRPr="00FA3570" w:rsidTr="00A23709">
        <w:trPr>
          <w:trHeight w:val="83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公立技專校院</w:t>
            </w:r>
          </w:p>
        </w:tc>
        <w:tc>
          <w:tcPr>
            <w:tcW w:w="507"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500</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4</w:t>
            </w:r>
          </w:p>
        </w:tc>
        <w:tc>
          <w:tcPr>
            <w:tcW w:w="36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0.80%</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35</w:t>
            </w:r>
          </w:p>
        </w:tc>
        <w:tc>
          <w:tcPr>
            <w:tcW w:w="43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7.00%</w:t>
            </w:r>
          </w:p>
        </w:tc>
        <w:tc>
          <w:tcPr>
            <w:tcW w:w="418"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406</w:t>
            </w:r>
          </w:p>
        </w:tc>
        <w:tc>
          <w:tcPr>
            <w:tcW w:w="356"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81.20%</w:t>
            </w:r>
          </w:p>
        </w:tc>
        <w:tc>
          <w:tcPr>
            <w:tcW w:w="38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55</w:t>
            </w:r>
          </w:p>
        </w:tc>
        <w:tc>
          <w:tcPr>
            <w:tcW w:w="363"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11.00%</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0</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0.00%</w:t>
            </w:r>
          </w:p>
        </w:tc>
      </w:tr>
      <w:tr w:rsidR="00FA3570" w:rsidRPr="00FA3570" w:rsidTr="00A23709">
        <w:trPr>
          <w:trHeight w:val="83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私立技專校院</w:t>
            </w:r>
          </w:p>
        </w:tc>
        <w:tc>
          <w:tcPr>
            <w:tcW w:w="507"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896</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9</w:t>
            </w:r>
          </w:p>
        </w:tc>
        <w:tc>
          <w:tcPr>
            <w:tcW w:w="36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1.00%</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74</w:t>
            </w:r>
          </w:p>
        </w:tc>
        <w:tc>
          <w:tcPr>
            <w:tcW w:w="43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8.26%</w:t>
            </w:r>
          </w:p>
        </w:tc>
        <w:tc>
          <w:tcPr>
            <w:tcW w:w="418"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723</w:t>
            </w:r>
          </w:p>
        </w:tc>
        <w:tc>
          <w:tcPr>
            <w:tcW w:w="356"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80.69%</w:t>
            </w:r>
          </w:p>
        </w:tc>
        <w:tc>
          <w:tcPr>
            <w:tcW w:w="38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90</w:t>
            </w:r>
          </w:p>
        </w:tc>
        <w:tc>
          <w:tcPr>
            <w:tcW w:w="363"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10.04%</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0</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0.00%</w:t>
            </w:r>
          </w:p>
        </w:tc>
      </w:tr>
      <w:tr w:rsidR="00FA3570" w:rsidRPr="00FA3570" w:rsidTr="00A23709">
        <w:trPr>
          <w:trHeight w:val="83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公私立技專校院小計</w:t>
            </w:r>
          </w:p>
        </w:tc>
        <w:tc>
          <w:tcPr>
            <w:tcW w:w="507"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w:t>
            </w:r>
            <w:r w:rsidRPr="00FA3570">
              <w:rPr>
                <w:rFonts w:hAnsi="標楷體" w:cs="新細明體"/>
                <w:kern w:val="0"/>
                <w:sz w:val="28"/>
                <w:szCs w:val="28"/>
              </w:rPr>
              <w:t>,</w:t>
            </w:r>
            <w:r w:rsidRPr="00FA3570">
              <w:rPr>
                <w:rFonts w:hAnsi="標楷體" w:cs="新細明體" w:hint="eastAsia"/>
                <w:kern w:val="0"/>
                <w:sz w:val="28"/>
                <w:szCs w:val="28"/>
              </w:rPr>
              <w:t>396</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13</w:t>
            </w:r>
          </w:p>
        </w:tc>
        <w:tc>
          <w:tcPr>
            <w:tcW w:w="36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0.93%</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109</w:t>
            </w:r>
          </w:p>
        </w:tc>
        <w:tc>
          <w:tcPr>
            <w:tcW w:w="43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7.81%</w:t>
            </w:r>
          </w:p>
        </w:tc>
        <w:tc>
          <w:tcPr>
            <w:tcW w:w="418"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w:t>
            </w:r>
            <w:r w:rsidRPr="00FA3570">
              <w:rPr>
                <w:rFonts w:hAnsi="標楷體" w:cs="新細明體"/>
                <w:kern w:val="0"/>
                <w:sz w:val="28"/>
                <w:szCs w:val="28"/>
              </w:rPr>
              <w:t>,</w:t>
            </w:r>
            <w:r w:rsidRPr="00FA3570">
              <w:rPr>
                <w:rFonts w:hAnsi="標楷體" w:cs="新細明體" w:hint="eastAsia"/>
                <w:kern w:val="0"/>
                <w:sz w:val="28"/>
                <w:szCs w:val="28"/>
              </w:rPr>
              <w:t>129</w:t>
            </w:r>
          </w:p>
        </w:tc>
        <w:tc>
          <w:tcPr>
            <w:tcW w:w="356"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80.87%</w:t>
            </w:r>
          </w:p>
        </w:tc>
        <w:tc>
          <w:tcPr>
            <w:tcW w:w="38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145</w:t>
            </w:r>
          </w:p>
        </w:tc>
        <w:tc>
          <w:tcPr>
            <w:tcW w:w="363"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10.39%</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0</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0.00%</w:t>
            </w:r>
          </w:p>
        </w:tc>
      </w:tr>
      <w:tr w:rsidR="00FA3570" w:rsidRPr="00FA3570" w:rsidTr="00A23709">
        <w:trPr>
          <w:trHeight w:val="831"/>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總計</w:t>
            </w:r>
          </w:p>
        </w:tc>
        <w:tc>
          <w:tcPr>
            <w:tcW w:w="507"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4</w:t>
            </w:r>
            <w:r w:rsidRPr="00FA3570">
              <w:rPr>
                <w:rFonts w:hAnsi="標楷體" w:cs="新細明體"/>
                <w:kern w:val="0"/>
                <w:sz w:val="28"/>
                <w:szCs w:val="28"/>
              </w:rPr>
              <w:t>,</w:t>
            </w:r>
            <w:r w:rsidRPr="00FA3570">
              <w:rPr>
                <w:rFonts w:hAnsi="標楷體" w:cs="新細明體" w:hint="eastAsia"/>
                <w:kern w:val="0"/>
                <w:sz w:val="28"/>
                <w:szCs w:val="28"/>
              </w:rPr>
              <w:t>301</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50</w:t>
            </w:r>
          </w:p>
        </w:tc>
        <w:tc>
          <w:tcPr>
            <w:tcW w:w="36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1.16%</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326</w:t>
            </w:r>
          </w:p>
        </w:tc>
        <w:tc>
          <w:tcPr>
            <w:tcW w:w="43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7.58%</w:t>
            </w:r>
          </w:p>
        </w:tc>
        <w:tc>
          <w:tcPr>
            <w:tcW w:w="418"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3</w:t>
            </w:r>
            <w:r w:rsidRPr="00FA3570">
              <w:rPr>
                <w:rFonts w:hAnsi="標楷體" w:cs="新細明體"/>
                <w:kern w:val="0"/>
                <w:sz w:val="28"/>
                <w:szCs w:val="28"/>
              </w:rPr>
              <w:t>,</w:t>
            </w:r>
            <w:r w:rsidRPr="00FA3570">
              <w:rPr>
                <w:rFonts w:hAnsi="標楷體" w:cs="新細明體" w:hint="eastAsia"/>
                <w:kern w:val="0"/>
                <w:sz w:val="28"/>
                <w:szCs w:val="28"/>
              </w:rPr>
              <w:t>395</w:t>
            </w:r>
          </w:p>
        </w:tc>
        <w:tc>
          <w:tcPr>
            <w:tcW w:w="356"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78.94%</w:t>
            </w:r>
          </w:p>
        </w:tc>
        <w:tc>
          <w:tcPr>
            <w:tcW w:w="384"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326</w:t>
            </w:r>
          </w:p>
        </w:tc>
        <w:tc>
          <w:tcPr>
            <w:tcW w:w="363"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7.58%</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204</w:t>
            </w:r>
          </w:p>
        </w:tc>
        <w:tc>
          <w:tcPr>
            <w:tcW w:w="362" w:type="pct"/>
            <w:tcBorders>
              <w:top w:val="nil"/>
              <w:left w:val="nil"/>
              <w:bottom w:val="single" w:sz="4" w:space="0" w:color="auto"/>
              <w:right w:val="single" w:sz="4" w:space="0" w:color="auto"/>
            </w:tcBorders>
            <w:shd w:val="clear" w:color="auto" w:fill="auto"/>
            <w:noWrap/>
            <w:vAlign w:val="center"/>
            <w:hideMark/>
          </w:tcPr>
          <w:p w:rsidR="004B3EAD" w:rsidRPr="00FA3570" w:rsidRDefault="004B3EAD" w:rsidP="00A23709">
            <w:pPr>
              <w:widowControl/>
              <w:snapToGrid w:val="0"/>
              <w:spacing w:line="360" w:lineRule="exact"/>
              <w:jc w:val="center"/>
              <w:rPr>
                <w:rFonts w:hAnsi="標楷體" w:cs="新細明體"/>
                <w:kern w:val="0"/>
                <w:sz w:val="28"/>
                <w:szCs w:val="28"/>
              </w:rPr>
            </w:pPr>
            <w:r w:rsidRPr="00FA3570">
              <w:rPr>
                <w:rFonts w:hAnsi="標楷體" w:cs="新細明體" w:hint="eastAsia"/>
                <w:kern w:val="0"/>
                <w:sz w:val="28"/>
                <w:szCs w:val="28"/>
              </w:rPr>
              <w:t>4.74%</w:t>
            </w:r>
          </w:p>
        </w:tc>
      </w:tr>
    </w:tbl>
    <w:p w:rsidR="004B3EAD" w:rsidRPr="00FA3570" w:rsidRDefault="004B3EAD" w:rsidP="004B3EAD">
      <w:pPr>
        <w:snapToGrid w:val="0"/>
        <w:spacing w:line="240" w:lineRule="exact"/>
        <w:rPr>
          <w:rFonts w:hAnsi="Arial"/>
          <w:bCs/>
          <w:kern w:val="32"/>
          <w:sz w:val="24"/>
          <w:szCs w:val="24"/>
        </w:rPr>
      </w:pPr>
      <w:proofErr w:type="gramStart"/>
      <w:r w:rsidRPr="00FA3570">
        <w:rPr>
          <w:rFonts w:hAnsi="Arial" w:hint="eastAsia"/>
          <w:bCs/>
          <w:kern w:val="32"/>
          <w:sz w:val="24"/>
          <w:szCs w:val="24"/>
        </w:rPr>
        <w:t>註</w:t>
      </w:r>
      <w:proofErr w:type="gramEnd"/>
      <w:r w:rsidRPr="00FA3570">
        <w:rPr>
          <w:rFonts w:hAnsi="Arial" w:hint="eastAsia"/>
          <w:bCs/>
          <w:kern w:val="32"/>
          <w:sz w:val="24"/>
          <w:szCs w:val="24"/>
        </w:rPr>
        <w:t>：</w:t>
      </w:r>
    </w:p>
    <w:p w:rsidR="004B3EAD" w:rsidRPr="00FA3570" w:rsidRDefault="004B3EAD" w:rsidP="004B3EAD">
      <w:pPr>
        <w:pStyle w:val="af7"/>
        <w:numPr>
          <w:ilvl w:val="0"/>
          <w:numId w:val="37"/>
        </w:numPr>
        <w:snapToGrid w:val="0"/>
        <w:spacing w:line="240" w:lineRule="exact"/>
        <w:ind w:leftChars="0"/>
        <w:rPr>
          <w:rFonts w:hAnsi="Arial"/>
          <w:bCs/>
          <w:kern w:val="32"/>
          <w:sz w:val="24"/>
          <w:szCs w:val="24"/>
        </w:rPr>
      </w:pPr>
      <w:r w:rsidRPr="00FA3570">
        <w:rPr>
          <w:rFonts w:hAnsi="Arial" w:hint="eastAsia"/>
          <w:bCs/>
          <w:kern w:val="32"/>
          <w:sz w:val="24"/>
          <w:szCs w:val="24"/>
        </w:rPr>
        <w:t>教育部表示，因部分學校更新111學年度註冊人數，另因部分學校有重複計算或誤植，</w:t>
      </w:r>
      <w:proofErr w:type="gramStart"/>
      <w:r w:rsidRPr="00FA3570">
        <w:rPr>
          <w:rFonts w:hAnsi="Arial" w:hint="eastAsia"/>
          <w:bCs/>
          <w:kern w:val="32"/>
          <w:sz w:val="24"/>
          <w:szCs w:val="24"/>
        </w:rPr>
        <w:t>爰</w:t>
      </w:r>
      <w:proofErr w:type="gramEnd"/>
      <w:r w:rsidRPr="00FA3570">
        <w:rPr>
          <w:rFonts w:hAnsi="Arial" w:hint="eastAsia"/>
          <w:bCs/>
          <w:kern w:val="32"/>
          <w:sz w:val="24"/>
          <w:szCs w:val="24"/>
        </w:rPr>
        <w:t>修正「入學大學同等學力認定標準」第7條碩士班註冊人數為</w:t>
      </w:r>
      <w:r w:rsidRPr="00FA3570">
        <w:rPr>
          <w:rFonts w:hAnsi="Arial"/>
          <w:bCs/>
          <w:kern w:val="32"/>
          <w:sz w:val="24"/>
          <w:szCs w:val="24"/>
        </w:rPr>
        <w:t>4,301</w:t>
      </w:r>
      <w:r w:rsidRPr="00FA3570">
        <w:rPr>
          <w:rFonts w:hAnsi="Arial" w:hint="eastAsia"/>
          <w:bCs/>
          <w:kern w:val="32"/>
          <w:sz w:val="24"/>
          <w:szCs w:val="24"/>
        </w:rPr>
        <w:t>人。</w:t>
      </w:r>
    </w:p>
    <w:p w:rsidR="004B3EAD" w:rsidRPr="00FA3570" w:rsidRDefault="004B3EAD" w:rsidP="004B3EAD">
      <w:pPr>
        <w:pStyle w:val="af7"/>
        <w:numPr>
          <w:ilvl w:val="0"/>
          <w:numId w:val="37"/>
        </w:numPr>
        <w:snapToGrid w:val="0"/>
        <w:spacing w:line="240" w:lineRule="exact"/>
        <w:ind w:leftChars="0"/>
        <w:rPr>
          <w:rFonts w:hAnsi="Arial"/>
          <w:bCs/>
          <w:kern w:val="32"/>
          <w:sz w:val="24"/>
          <w:szCs w:val="24"/>
        </w:rPr>
      </w:pPr>
      <w:r w:rsidRPr="00FA3570">
        <w:rPr>
          <w:rFonts w:hAnsi="Arial" w:hint="eastAsia"/>
          <w:bCs/>
          <w:kern w:val="32"/>
          <w:sz w:val="24"/>
          <w:szCs w:val="24"/>
        </w:rPr>
        <w:t>「其他」係指部分學校因審查專業領域具卓越成就表現，無蒐集該類學生入學前最高學歷資料，或因招生學年度考生原始報名資料已依規定銷毀查無相關資料之學生人數。</w:t>
      </w:r>
    </w:p>
    <w:p w:rsidR="004B3EAD" w:rsidRPr="00FA3570" w:rsidRDefault="004B3EAD" w:rsidP="004B3EAD">
      <w:pPr>
        <w:pStyle w:val="af7"/>
        <w:numPr>
          <w:ilvl w:val="0"/>
          <w:numId w:val="37"/>
        </w:numPr>
        <w:snapToGrid w:val="0"/>
        <w:spacing w:line="240" w:lineRule="exact"/>
        <w:ind w:leftChars="0"/>
        <w:rPr>
          <w:rFonts w:hAnsi="Arial"/>
          <w:bCs/>
          <w:kern w:val="32"/>
          <w:sz w:val="24"/>
          <w:szCs w:val="24"/>
        </w:rPr>
      </w:pPr>
      <w:r w:rsidRPr="00FA3570">
        <w:rPr>
          <w:rFonts w:hAnsi="Arial" w:hint="eastAsia"/>
          <w:bCs/>
          <w:kern w:val="32"/>
          <w:sz w:val="24"/>
          <w:szCs w:val="24"/>
        </w:rPr>
        <w:t>最高學歷以取得「畢業證書」為限，如為肄業則歸類為前一教育階段，如大學肄業以高中/</w:t>
      </w:r>
      <w:proofErr w:type="gramStart"/>
      <w:r w:rsidRPr="00FA3570">
        <w:rPr>
          <w:rFonts w:hAnsi="Arial" w:hint="eastAsia"/>
          <w:bCs/>
          <w:kern w:val="32"/>
          <w:sz w:val="24"/>
          <w:szCs w:val="24"/>
        </w:rPr>
        <w:t>職列計</w:t>
      </w:r>
      <w:proofErr w:type="gramEnd"/>
      <w:r w:rsidRPr="00FA3570">
        <w:rPr>
          <w:rFonts w:hAnsi="Arial" w:hint="eastAsia"/>
          <w:bCs/>
          <w:kern w:val="32"/>
          <w:sz w:val="24"/>
          <w:szCs w:val="24"/>
        </w:rPr>
        <w:t>。</w:t>
      </w:r>
    </w:p>
    <w:p w:rsidR="004B3EAD" w:rsidRPr="00FA3570" w:rsidRDefault="004B3EAD" w:rsidP="004B3EAD">
      <w:pPr>
        <w:pStyle w:val="af7"/>
        <w:snapToGrid w:val="0"/>
        <w:spacing w:line="240" w:lineRule="exact"/>
        <w:ind w:leftChars="0" w:left="1040"/>
        <w:rPr>
          <w:rFonts w:hAnsi="Arial"/>
          <w:bCs/>
          <w:kern w:val="32"/>
          <w:sz w:val="24"/>
          <w:szCs w:val="24"/>
        </w:rPr>
      </w:pPr>
    </w:p>
    <w:p w:rsidR="004C2D7C" w:rsidRPr="00FA3570" w:rsidRDefault="004C2D7C" w:rsidP="004C2D7C">
      <w:pPr>
        <w:pStyle w:val="3"/>
        <w:numPr>
          <w:ilvl w:val="2"/>
          <w:numId w:val="1"/>
        </w:numPr>
      </w:pPr>
      <w:bookmarkStart w:id="78" w:name="_Toc135055469"/>
      <w:bookmarkStart w:id="79" w:name="_Toc135055473"/>
      <w:r w:rsidRPr="00FA3570">
        <w:rPr>
          <w:rFonts w:hint="eastAsia"/>
          <w:b/>
        </w:rPr>
        <w:t>對於監控吳寶春條款有無濫用一事，教育部主要係採取「教學品質查核作業中抽查相關資料一併注意」之作法，以維護學生受教權益</w:t>
      </w:r>
      <w:r w:rsidRPr="00FA3570">
        <w:rPr>
          <w:rFonts w:hint="eastAsia"/>
        </w:rPr>
        <w:t>；教育部說明略</w:t>
      </w:r>
      <w:proofErr w:type="gramStart"/>
      <w:r w:rsidRPr="00FA3570">
        <w:rPr>
          <w:rFonts w:hint="eastAsia"/>
        </w:rPr>
        <w:t>以</w:t>
      </w:r>
      <w:proofErr w:type="gramEnd"/>
      <w:r w:rsidRPr="00FA3570">
        <w:rPr>
          <w:rFonts w:hint="eastAsia"/>
        </w:rPr>
        <w:t>：</w:t>
      </w:r>
      <w:bookmarkEnd w:id="78"/>
    </w:p>
    <w:p w:rsidR="004C2D7C" w:rsidRPr="00FA3570" w:rsidRDefault="004C2D7C" w:rsidP="004C2D7C">
      <w:pPr>
        <w:pStyle w:val="4"/>
        <w:numPr>
          <w:ilvl w:val="3"/>
          <w:numId w:val="1"/>
        </w:numPr>
      </w:pPr>
      <w:r w:rsidRPr="00FA3570">
        <w:rPr>
          <w:rFonts w:hAnsi="標楷體" w:hint="eastAsia"/>
          <w:spacing w:val="-6"/>
          <w:szCs w:val="32"/>
        </w:rPr>
        <w:t>各校各系所報考資格之規定，係由大學之招生委員</w:t>
      </w:r>
      <w:r w:rsidRPr="00FA3570">
        <w:rPr>
          <w:rFonts w:hAnsi="標楷體" w:hint="eastAsia"/>
          <w:spacing w:val="-6"/>
          <w:szCs w:val="32"/>
        </w:rPr>
        <w:lastRenderedPageBreak/>
        <w:t>會依其師資專長、課程規劃、發展方向等因素自行規劃，並據以招收適性適才之學生，惟各校仍應遵守招生相關規定，並秉持公平、公正、公開辦理招生事務。</w:t>
      </w:r>
    </w:p>
    <w:p w:rsidR="004C2D7C" w:rsidRPr="00FA3570" w:rsidRDefault="004C2D7C" w:rsidP="004C2D7C">
      <w:pPr>
        <w:pStyle w:val="4"/>
        <w:numPr>
          <w:ilvl w:val="3"/>
          <w:numId w:val="1"/>
        </w:numPr>
      </w:pPr>
      <w:r w:rsidRPr="00FA3570">
        <w:rPr>
          <w:rFonts w:hAnsi="標楷體" w:hint="eastAsia"/>
          <w:spacing w:val="-6"/>
          <w:szCs w:val="32"/>
        </w:rPr>
        <w:t>教育部</w:t>
      </w:r>
      <w:r w:rsidRPr="00FA3570">
        <w:rPr>
          <w:bCs/>
        </w:rPr>
        <w:t>近5年尚無</w:t>
      </w:r>
      <w:r w:rsidRPr="00FA3570">
        <w:rPr>
          <w:rFonts w:hint="eastAsia"/>
          <w:bCs/>
        </w:rPr>
        <w:t>接獲</w:t>
      </w:r>
      <w:r w:rsidRPr="00FA3570">
        <w:rPr>
          <w:bCs/>
        </w:rPr>
        <w:t>民眾具名檢舉特定學校不當適用</w:t>
      </w:r>
      <w:r w:rsidRPr="00FA3570">
        <w:rPr>
          <w:rFonts w:hint="eastAsia"/>
          <w:bCs/>
        </w:rPr>
        <w:t>吳寶春條款</w:t>
      </w:r>
      <w:r w:rsidRPr="00FA3570">
        <w:rPr>
          <w:bCs/>
        </w:rPr>
        <w:t>情事</w:t>
      </w:r>
      <w:r w:rsidRPr="00FA3570">
        <w:rPr>
          <w:rFonts w:hint="eastAsia"/>
          <w:bCs/>
        </w:rPr>
        <w:t>；</w:t>
      </w:r>
      <w:proofErr w:type="gramStart"/>
      <w:r w:rsidRPr="00FA3570">
        <w:rPr>
          <w:rFonts w:hint="eastAsia"/>
          <w:bCs/>
        </w:rPr>
        <w:t>另</w:t>
      </w:r>
      <w:proofErr w:type="gramEnd"/>
      <w:r w:rsidRPr="00FA3570">
        <w:rPr>
          <w:rFonts w:hint="eastAsia"/>
          <w:bCs/>
        </w:rPr>
        <w:t>，</w:t>
      </w:r>
      <w:r w:rsidRPr="00FA3570">
        <w:rPr>
          <w:rFonts w:hAnsi="標楷體" w:hint="eastAsia"/>
          <w:spacing w:val="-6"/>
          <w:szCs w:val="32"/>
        </w:rPr>
        <w:t>從嚴督導各大學校院並逐年調查各校招生情形，及辦理專業領域審定之相關程序等。如有缺失或不當情形，即廢止該校適用。</w:t>
      </w:r>
    </w:p>
    <w:p w:rsidR="004C2D7C" w:rsidRPr="00FA3570" w:rsidRDefault="004C2D7C" w:rsidP="004C2D7C">
      <w:pPr>
        <w:pStyle w:val="4"/>
        <w:numPr>
          <w:ilvl w:val="3"/>
          <w:numId w:val="1"/>
        </w:numPr>
      </w:pPr>
      <w:r w:rsidRPr="00FA3570">
        <w:rPr>
          <w:rFonts w:hint="eastAsia"/>
          <w:bCs/>
        </w:rPr>
        <w:t>依據</w:t>
      </w:r>
      <w:r w:rsidRPr="00FA3570">
        <w:rPr>
          <w:rFonts w:hint="eastAsia"/>
        </w:rPr>
        <w:t>「專科以上學校維護學生受教權益應行注意事項」，教育部篩選學校進行教學品質查核作業，主要查核「全校課程規劃與開課情形，有無不合理</w:t>
      </w:r>
      <w:proofErr w:type="gramStart"/>
      <w:r w:rsidRPr="00FA3570">
        <w:rPr>
          <w:rFonts w:hint="eastAsia"/>
        </w:rPr>
        <w:t>併</w:t>
      </w:r>
      <w:proofErr w:type="gramEnd"/>
      <w:r w:rsidRPr="00FA3570">
        <w:rPr>
          <w:rFonts w:hint="eastAsia"/>
        </w:rPr>
        <w:t>班上課？教師授課是否與專長相符？等」，前開查核作業亦會抽查學校各類資料，一併檢視有無不當適用吳寶春條款情事。</w:t>
      </w:r>
    </w:p>
    <w:p w:rsidR="004C2D7C" w:rsidRPr="00FA3570" w:rsidRDefault="004C2D7C" w:rsidP="004C2D7C">
      <w:pPr>
        <w:pStyle w:val="3"/>
        <w:numPr>
          <w:ilvl w:val="2"/>
          <w:numId w:val="1"/>
        </w:numPr>
        <w:rPr>
          <w:specVanish/>
        </w:rPr>
      </w:pPr>
      <w:bookmarkStart w:id="80" w:name="_Toc135055470"/>
      <w:proofErr w:type="gramStart"/>
      <w:r w:rsidRPr="00FA3570">
        <w:rPr>
          <w:rFonts w:hint="eastAsia"/>
        </w:rPr>
        <w:t>另</w:t>
      </w:r>
      <w:proofErr w:type="gramEnd"/>
      <w:r w:rsidRPr="00FA3570">
        <w:rPr>
          <w:rFonts w:hint="eastAsia"/>
        </w:rPr>
        <w:t>，有關教育部廢止學校「吳寶春條款」之適用核可的案例，教育部說明如下：</w:t>
      </w:r>
      <w:bookmarkEnd w:id="80"/>
    </w:p>
    <w:p w:rsidR="004C2D7C" w:rsidRPr="00FA3570" w:rsidRDefault="004C2D7C" w:rsidP="004C2D7C">
      <w:pPr>
        <w:pStyle w:val="4"/>
        <w:numPr>
          <w:ilvl w:val="3"/>
          <w:numId w:val="1"/>
        </w:numPr>
        <w:rPr>
          <w:specVanish/>
        </w:rPr>
      </w:pPr>
      <w:r w:rsidRPr="00FA3570">
        <w:rPr>
          <w:rFonts w:hint="eastAsia"/>
        </w:rPr>
        <w:t>案</w:t>
      </w:r>
      <w:proofErr w:type="gramStart"/>
      <w:r w:rsidRPr="00FA3570">
        <w:rPr>
          <w:rFonts w:hint="eastAsia"/>
        </w:rPr>
        <w:t>一</w:t>
      </w:r>
      <w:proofErr w:type="gramEnd"/>
      <w:r w:rsidRPr="00FA3570">
        <w:rPr>
          <w:rFonts w:hint="eastAsia"/>
        </w:rPr>
        <w:t>「</w:t>
      </w:r>
      <w:r w:rsidRPr="00FA3570">
        <w:t>109</w:t>
      </w:r>
      <w:r w:rsidRPr="00FA3570">
        <w:rPr>
          <w:rFonts w:hint="eastAsia"/>
        </w:rPr>
        <w:t>學年度起取消樹德科技大學之適用核可」：</w:t>
      </w:r>
    </w:p>
    <w:p w:rsidR="004C2D7C" w:rsidRPr="00FA3570" w:rsidRDefault="004C2D7C" w:rsidP="004C2D7C">
      <w:pPr>
        <w:pStyle w:val="4"/>
        <w:numPr>
          <w:ilvl w:val="0"/>
          <w:numId w:val="0"/>
        </w:numPr>
        <w:ind w:left="1701"/>
      </w:pPr>
      <w:r w:rsidRPr="00FA3570">
        <w:rPr>
          <w:rFonts w:hint="eastAsia"/>
        </w:rPr>
        <w:t xml:space="preserve">    教育部辦理</w:t>
      </w:r>
      <w:r w:rsidRPr="00FA3570">
        <w:t>107</w:t>
      </w:r>
      <w:r w:rsidRPr="00FA3570">
        <w:rPr>
          <w:rFonts w:hint="eastAsia"/>
        </w:rPr>
        <w:t>學年度第</w:t>
      </w:r>
      <w:r w:rsidRPr="00FA3570">
        <w:t>2</w:t>
      </w:r>
      <w:r w:rsidRPr="00FA3570">
        <w:rPr>
          <w:rFonts w:hint="eastAsia"/>
        </w:rPr>
        <w:t>學期教學品質查核作業，實地查核並抽查樹德科技大學</w:t>
      </w:r>
      <w:r w:rsidRPr="00FA3570">
        <w:t>(</w:t>
      </w:r>
      <w:r w:rsidRPr="00FA3570">
        <w:rPr>
          <w:rFonts w:hint="eastAsia"/>
        </w:rPr>
        <w:t>進修學制</w:t>
      </w:r>
      <w:r w:rsidRPr="00FA3570">
        <w:t>)</w:t>
      </w:r>
      <w:r w:rsidRPr="00FA3570">
        <w:rPr>
          <w:rFonts w:hint="eastAsia"/>
        </w:rPr>
        <w:t>碩士及碩士在職專班招生資料，發現</w:t>
      </w:r>
      <w:r w:rsidRPr="00FA3570">
        <w:t>327</w:t>
      </w:r>
      <w:r w:rsidRPr="00FA3570">
        <w:rPr>
          <w:rFonts w:hint="eastAsia"/>
        </w:rPr>
        <w:t>個名額中，有</w:t>
      </w:r>
      <w:r w:rsidRPr="00FA3570">
        <w:t>110</w:t>
      </w:r>
      <w:r w:rsidRPr="00FA3570">
        <w:rPr>
          <w:rFonts w:hint="eastAsia"/>
        </w:rPr>
        <w:t>名以吳寶春條款報考，比率明顯過高，進而檢視其</w:t>
      </w:r>
      <w:r w:rsidRPr="00FA3570">
        <w:t>107</w:t>
      </w:r>
      <w:r w:rsidRPr="00FA3570">
        <w:rPr>
          <w:rFonts w:hint="eastAsia"/>
        </w:rPr>
        <w:t>學年度招生簡章，發現該校審核專業卓越表現之標準過於寬鬆，有浮濫之虞，</w:t>
      </w:r>
      <w:proofErr w:type="gramStart"/>
      <w:r w:rsidRPr="00FA3570">
        <w:rPr>
          <w:rFonts w:hint="eastAsia"/>
        </w:rPr>
        <w:t>爰</w:t>
      </w:r>
      <w:proofErr w:type="gramEnd"/>
      <w:r w:rsidRPr="00FA3570">
        <w:rPr>
          <w:rFonts w:hint="eastAsia"/>
        </w:rPr>
        <w:t>於</w:t>
      </w:r>
      <w:r w:rsidRPr="00FA3570">
        <w:t>108</w:t>
      </w:r>
      <w:r w:rsidRPr="00FA3570">
        <w:rPr>
          <w:rFonts w:hint="eastAsia"/>
        </w:rPr>
        <w:t>年</w:t>
      </w:r>
      <w:r w:rsidRPr="00FA3570">
        <w:t>7</w:t>
      </w:r>
      <w:r w:rsidRPr="00FA3570">
        <w:rPr>
          <w:rFonts w:hint="eastAsia"/>
        </w:rPr>
        <w:t>月</w:t>
      </w:r>
      <w:r w:rsidRPr="00FA3570">
        <w:t>9</w:t>
      </w:r>
      <w:r w:rsidRPr="00FA3570">
        <w:rPr>
          <w:rFonts w:hint="eastAsia"/>
        </w:rPr>
        <w:t>日函知</w:t>
      </w:r>
      <w:r w:rsidRPr="00FA3570">
        <w:rPr>
          <w:rStyle w:val="afd"/>
        </w:rPr>
        <w:footnoteReference w:id="5"/>
      </w:r>
      <w:r w:rsidRPr="00FA3570">
        <w:rPr>
          <w:rFonts w:hint="eastAsia"/>
        </w:rPr>
        <w:t>該校自</w:t>
      </w:r>
      <w:r w:rsidRPr="00FA3570">
        <w:t>109</w:t>
      </w:r>
      <w:r w:rsidRPr="00FA3570">
        <w:rPr>
          <w:rFonts w:hint="eastAsia"/>
        </w:rPr>
        <w:t>學年度起取消吳寶春條款之適用核可。</w:t>
      </w:r>
    </w:p>
    <w:p w:rsidR="004C2D7C" w:rsidRPr="00FA3570" w:rsidRDefault="004C2D7C" w:rsidP="004C2D7C">
      <w:pPr>
        <w:pStyle w:val="4"/>
        <w:numPr>
          <w:ilvl w:val="3"/>
          <w:numId w:val="1"/>
        </w:numPr>
        <w:rPr>
          <w:vanish/>
          <w:specVanish/>
        </w:rPr>
      </w:pPr>
      <w:r w:rsidRPr="00FA3570">
        <w:rPr>
          <w:rFonts w:hint="eastAsia"/>
        </w:rPr>
        <w:t>案二「</w:t>
      </w:r>
      <w:r w:rsidRPr="00FA3570">
        <w:t>1</w:t>
      </w:r>
      <w:r w:rsidRPr="00FA3570">
        <w:rPr>
          <w:rFonts w:hint="eastAsia"/>
        </w:rPr>
        <w:t>13學年度起取消亞洲大學</w:t>
      </w:r>
    </w:p>
    <w:p w:rsidR="004C2D7C" w:rsidRPr="00FA3570" w:rsidRDefault="004C2D7C" w:rsidP="004C2D7C">
      <w:pPr>
        <w:pStyle w:val="4"/>
        <w:numPr>
          <w:ilvl w:val="3"/>
          <w:numId w:val="1"/>
        </w:numPr>
      </w:pPr>
      <w:r w:rsidRPr="00FA3570">
        <w:rPr>
          <w:rFonts w:hint="eastAsia"/>
        </w:rPr>
        <w:t>之適用核可」：</w:t>
      </w:r>
    </w:p>
    <w:p w:rsidR="004C2D7C" w:rsidRPr="00FA3570" w:rsidRDefault="004C2D7C" w:rsidP="004C2D7C">
      <w:pPr>
        <w:pStyle w:val="5"/>
        <w:numPr>
          <w:ilvl w:val="4"/>
          <w:numId w:val="1"/>
        </w:numPr>
        <w:rPr>
          <w:specVanish/>
        </w:rPr>
      </w:pPr>
      <w:r w:rsidRPr="00FA3570">
        <w:rPr>
          <w:rFonts w:hint="eastAsia"/>
        </w:rPr>
        <w:lastRenderedPageBreak/>
        <w:t>111年8月爆發「報載，</w:t>
      </w:r>
      <w:r w:rsidRPr="00FA3570">
        <w:rPr>
          <w:szCs w:val="52"/>
        </w:rPr>
        <w:t>南投縣議會議長，利用</w:t>
      </w:r>
      <w:r w:rsidRPr="00FA3570">
        <w:rPr>
          <w:rFonts w:hint="eastAsia"/>
          <w:szCs w:val="52"/>
        </w:rPr>
        <w:t>『</w:t>
      </w:r>
      <w:r w:rsidRPr="00FA3570">
        <w:rPr>
          <w:szCs w:val="52"/>
        </w:rPr>
        <w:t>吳寶春條款</w:t>
      </w:r>
      <w:r w:rsidRPr="00FA3570">
        <w:rPr>
          <w:rFonts w:hint="eastAsia"/>
          <w:szCs w:val="52"/>
        </w:rPr>
        <w:t>』</w:t>
      </w:r>
      <w:r w:rsidRPr="00FA3570">
        <w:rPr>
          <w:szCs w:val="52"/>
        </w:rPr>
        <w:t>，僅國小學歷竟然4年拿到</w:t>
      </w:r>
      <w:r w:rsidRPr="00FA3570">
        <w:rPr>
          <w:rFonts w:hint="eastAsia"/>
          <w:szCs w:val="52"/>
        </w:rPr>
        <w:t>亞洲大學</w:t>
      </w:r>
      <w:r w:rsidRPr="00FA3570">
        <w:rPr>
          <w:szCs w:val="52"/>
        </w:rPr>
        <w:t>碩士，</w:t>
      </w:r>
      <w:r w:rsidRPr="00FA3570">
        <w:rPr>
          <w:rFonts w:hint="eastAsia"/>
          <w:szCs w:val="52"/>
        </w:rPr>
        <w:t>且</w:t>
      </w:r>
      <w:r w:rsidRPr="00FA3570">
        <w:rPr>
          <w:szCs w:val="52"/>
        </w:rPr>
        <w:t>碩士論文</w:t>
      </w:r>
      <w:proofErr w:type="gramStart"/>
      <w:r w:rsidRPr="00FA3570">
        <w:rPr>
          <w:rFonts w:hint="eastAsia"/>
          <w:szCs w:val="52"/>
        </w:rPr>
        <w:t>疑</w:t>
      </w:r>
      <w:proofErr w:type="gramEnd"/>
      <w:r w:rsidRPr="00FA3570">
        <w:rPr>
          <w:rFonts w:hint="eastAsia"/>
          <w:szCs w:val="52"/>
        </w:rPr>
        <w:t>涉</w:t>
      </w:r>
      <w:r w:rsidRPr="00FA3570">
        <w:rPr>
          <w:szCs w:val="52"/>
        </w:rPr>
        <w:t>抄襲</w:t>
      </w:r>
      <w:r w:rsidRPr="00FA3570">
        <w:rPr>
          <w:rFonts w:hint="eastAsia"/>
          <w:szCs w:val="52"/>
        </w:rPr>
        <w:t>等情」之爭議事件後，監察院函請教育部說明案情，</w:t>
      </w:r>
      <w:r w:rsidRPr="00FA3570">
        <w:rPr>
          <w:rFonts w:hint="eastAsia"/>
        </w:rPr>
        <w:t>教育部並據監察院函詢向亞洲大學調取資料</w:t>
      </w:r>
      <w:r w:rsidRPr="00FA3570">
        <w:rPr>
          <w:vertAlign w:val="superscript"/>
        </w:rPr>
        <w:footnoteReference w:id="6"/>
      </w:r>
      <w:r w:rsidRPr="00FA3570">
        <w:rPr>
          <w:rFonts w:hint="eastAsia"/>
        </w:rPr>
        <w:t>。</w:t>
      </w:r>
    </w:p>
    <w:p w:rsidR="004C2D7C" w:rsidRPr="00FA3570" w:rsidRDefault="004C2D7C" w:rsidP="004C2D7C">
      <w:pPr>
        <w:pStyle w:val="5"/>
        <w:numPr>
          <w:ilvl w:val="4"/>
          <w:numId w:val="1"/>
        </w:numPr>
        <w:rPr>
          <w:specVanish/>
        </w:rPr>
      </w:pPr>
      <w:r w:rsidRPr="00FA3570">
        <w:rPr>
          <w:rFonts w:hint="eastAsia"/>
        </w:rPr>
        <w:t>教育部審核亞洲大學資料後發現：〈1〉亞洲大學</w:t>
      </w:r>
      <w:r w:rsidRPr="00FA3570">
        <w:t>103學年度碩士班、碩士在職</w:t>
      </w:r>
      <w:proofErr w:type="gramStart"/>
      <w:r w:rsidRPr="00FA3570">
        <w:t>專班暨博士</w:t>
      </w:r>
      <w:proofErr w:type="gramEnd"/>
      <w:r w:rsidRPr="00FA3570">
        <w:t>班考試入學招生簡章，未依</w:t>
      </w:r>
      <w:r w:rsidRPr="00FA3570">
        <w:rPr>
          <w:rFonts w:hint="eastAsia"/>
        </w:rPr>
        <w:t>教育</w:t>
      </w:r>
      <w:r w:rsidRPr="00FA3570">
        <w:t>部102年4月29日函文之規定，於招生簡章中訂定招生系所招收對象之資格條件、審查方式、招收人數上限、報名應檢附證明文件等，及該類別學生報名後，學校應將其相關證明文件提交校級招生委員會審議確認後，始得同意報考等規定</w:t>
      </w:r>
      <w:r w:rsidRPr="00FA3570">
        <w:rPr>
          <w:rFonts w:hint="eastAsia"/>
        </w:rPr>
        <w:t>；〈2〉亞洲大學</w:t>
      </w:r>
      <w:r w:rsidRPr="00FA3570">
        <w:rPr>
          <w:u w:val="single"/>
        </w:rPr>
        <w:t>103年3月17日</w:t>
      </w:r>
      <w:r w:rsidRPr="00FA3570">
        <w:t>招生委員會會議紀錄</w:t>
      </w:r>
      <w:r w:rsidRPr="00FA3570">
        <w:rPr>
          <w:rFonts w:hint="eastAsia"/>
        </w:rPr>
        <w:t>顯示</w:t>
      </w:r>
      <w:r w:rsidRPr="00FA3570">
        <w:t>，討論事項包含提案</w:t>
      </w:r>
      <w:proofErr w:type="gramStart"/>
      <w:r w:rsidRPr="00FA3570">
        <w:t>一</w:t>
      </w:r>
      <w:proofErr w:type="gramEnd"/>
      <w:r w:rsidRPr="00FA3570">
        <w:t>「103學年度碩士班、碩士在職</w:t>
      </w:r>
      <w:proofErr w:type="gramStart"/>
      <w:r w:rsidRPr="00FA3570">
        <w:t>專班暨博</w:t>
      </w:r>
      <w:proofErr w:type="gramEnd"/>
      <w:r w:rsidRPr="00FA3570">
        <w:t>士班考試入學正、備取最低錄取標準及錄取人數」，其中，碩士在職</w:t>
      </w:r>
      <w:proofErr w:type="gramStart"/>
      <w:r w:rsidRPr="00FA3570">
        <w:t>專班</w:t>
      </w:r>
      <w:r w:rsidRPr="00FA3570">
        <w:rPr>
          <w:u w:val="single"/>
        </w:rPr>
        <w:t>業</w:t>
      </w:r>
      <w:proofErr w:type="gramEnd"/>
      <w:r w:rsidRPr="00FA3570">
        <w:rPr>
          <w:u w:val="single"/>
        </w:rPr>
        <w:t>於103年3月10日至3月12日完成面試及資料審查成績計算作業</w:t>
      </w:r>
      <w:r w:rsidRPr="00FA3570">
        <w:t>，及提案三「103學年度碩士在職專班考生以『專業領域具卓越成就表現者』方式之報名資格認定」報考者計有15名報考，均審核通過等節，</w:t>
      </w:r>
      <w:r w:rsidRPr="00FA3570">
        <w:rPr>
          <w:rFonts w:hint="eastAsia"/>
        </w:rPr>
        <w:t>顯</w:t>
      </w:r>
      <w:r w:rsidRPr="00FA3570">
        <w:t>未先將該類別學生報名之相關證明文件提交校級招生委員會審議確認後</w:t>
      </w:r>
      <w:r w:rsidRPr="00FA3570">
        <w:rPr>
          <w:rFonts w:hint="eastAsia"/>
        </w:rPr>
        <w:t>才</w:t>
      </w:r>
      <w:r w:rsidRPr="00FA3570">
        <w:t>同意報考</w:t>
      </w:r>
      <w:r w:rsidRPr="00FA3570">
        <w:rPr>
          <w:rFonts w:hint="eastAsia"/>
        </w:rPr>
        <w:t>，與</w:t>
      </w:r>
      <w:r w:rsidRPr="00FA3570">
        <w:t>規定</w:t>
      </w:r>
      <w:r w:rsidRPr="00FA3570">
        <w:rPr>
          <w:rFonts w:hint="eastAsia"/>
        </w:rPr>
        <w:t>未符。</w:t>
      </w:r>
    </w:p>
    <w:p w:rsidR="004C2D7C" w:rsidRPr="00FA3570" w:rsidRDefault="004C2D7C" w:rsidP="004C2D7C">
      <w:pPr>
        <w:pStyle w:val="5"/>
        <w:numPr>
          <w:ilvl w:val="4"/>
          <w:numId w:val="1"/>
        </w:numPr>
        <w:rPr>
          <w:specVanish/>
        </w:rPr>
      </w:pPr>
      <w:proofErr w:type="gramStart"/>
      <w:r w:rsidRPr="00FA3570">
        <w:t>另</w:t>
      </w:r>
      <w:proofErr w:type="gramEnd"/>
      <w:r w:rsidRPr="00FA3570">
        <w:rPr>
          <w:rFonts w:hint="eastAsia"/>
        </w:rPr>
        <w:t>，亞洲大學</w:t>
      </w:r>
      <w:r w:rsidRPr="00FA3570">
        <w:rPr>
          <w:rFonts w:hAnsi="標楷體"/>
          <w:spacing w:val="-6"/>
          <w:szCs w:val="32"/>
        </w:rPr>
        <w:t>生物與醫學資訊學系</w:t>
      </w:r>
      <w:r w:rsidRPr="00FA3570">
        <w:rPr>
          <w:rFonts w:hAnsi="標楷體" w:hint="eastAsia"/>
          <w:spacing w:val="-6"/>
          <w:szCs w:val="32"/>
        </w:rPr>
        <w:t>以「考</w:t>
      </w:r>
      <w:r w:rsidRPr="00FA3570">
        <w:rPr>
          <w:rFonts w:hAnsi="標楷體"/>
          <w:spacing w:val="-6"/>
          <w:szCs w:val="32"/>
        </w:rPr>
        <w:t>生於102年</w:t>
      </w:r>
      <w:r w:rsidRPr="00FA3570">
        <w:rPr>
          <w:rFonts w:hAnsi="標楷體"/>
          <w:spacing w:val="-6"/>
          <w:szCs w:val="32"/>
          <w:u w:val="single"/>
        </w:rPr>
        <w:t>擔任南投縣議會議長為社會服務貢獻表現卓</w:t>
      </w:r>
      <w:r w:rsidRPr="00FA3570">
        <w:rPr>
          <w:rFonts w:hAnsi="標楷體"/>
          <w:spacing w:val="-6"/>
          <w:szCs w:val="32"/>
          <w:u w:val="single"/>
        </w:rPr>
        <w:lastRenderedPageBreak/>
        <w:t>越者，因職業關係參與許多市民健康福祉等議案，此部分與該校生物與醫學資訊學系所發展方向有相關</w:t>
      </w:r>
      <w:r w:rsidRPr="00FA3570">
        <w:rPr>
          <w:rFonts w:hAnsi="標楷體" w:hint="eastAsia"/>
          <w:spacing w:val="-6"/>
          <w:szCs w:val="32"/>
          <w:u w:val="single"/>
        </w:rPr>
        <w:t>」</w:t>
      </w:r>
      <w:r w:rsidRPr="00FA3570">
        <w:rPr>
          <w:rFonts w:hAnsi="標楷體"/>
          <w:spacing w:val="-6"/>
          <w:szCs w:val="32"/>
        </w:rPr>
        <w:t>，准其以</w:t>
      </w:r>
      <w:r w:rsidRPr="00FA3570">
        <w:rPr>
          <w:rFonts w:hAnsi="標楷體" w:hint="eastAsia"/>
          <w:spacing w:val="-6"/>
          <w:szCs w:val="32"/>
        </w:rPr>
        <w:t>吳寶春條款</w:t>
      </w:r>
      <w:r w:rsidRPr="00FA3570">
        <w:rPr>
          <w:rFonts w:hAnsi="標楷體"/>
          <w:spacing w:val="-6"/>
          <w:szCs w:val="32"/>
        </w:rPr>
        <w:t>報考碩士班新生入學考試</w:t>
      </w:r>
      <w:r w:rsidRPr="00FA3570">
        <w:rPr>
          <w:rFonts w:hAnsi="標楷體" w:hint="eastAsia"/>
          <w:spacing w:val="-6"/>
          <w:szCs w:val="32"/>
        </w:rPr>
        <w:t>；對此，</w:t>
      </w:r>
      <w:r w:rsidRPr="00FA3570">
        <w:rPr>
          <w:rFonts w:hint="eastAsia"/>
        </w:rPr>
        <w:t>教育部請亞洲大學</w:t>
      </w:r>
      <w:r w:rsidRPr="00FA3570">
        <w:t>說明</w:t>
      </w:r>
      <w:r w:rsidRPr="00FA3570">
        <w:rPr>
          <w:rFonts w:hint="eastAsia"/>
        </w:rPr>
        <w:t>「</w:t>
      </w:r>
      <w:r w:rsidRPr="00FA3570">
        <w:t>如何認定議長為社會服務貢獻表現卓越者，並參與</w:t>
      </w:r>
      <w:proofErr w:type="gramStart"/>
      <w:r w:rsidRPr="00FA3570">
        <w:t>與</w:t>
      </w:r>
      <w:proofErr w:type="gramEnd"/>
      <w:r w:rsidRPr="00FA3570">
        <w:t>市民健康福祉相關議案，進而認其與報考學系應具</w:t>
      </w:r>
      <w:r w:rsidRPr="00FA3570">
        <w:rPr>
          <w:rFonts w:hint="eastAsia"/>
        </w:rPr>
        <w:t>『</w:t>
      </w:r>
      <w:r w:rsidRPr="00FA3570">
        <w:t>醫務管理</w:t>
      </w:r>
      <w:r w:rsidRPr="00FA3570">
        <w:rPr>
          <w:rFonts w:hint="eastAsia"/>
        </w:rPr>
        <w:t>』</w:t>
      </w:r>
      <w:r w:rsidRPr="00FA3570">
        <w:t>專業相符</w:t>
      </w:r>
      <w:r w:rsidRPr="00FA3570">
        <w:rPr>
          <w:rFonts w:hint="eastAsia"/>
        </w:rPr>
        <w:t>？」，亞洲大學則</w:t>
      </w:r>
      <w:r w:rsidRPr="00FA3570">
        <w:t>表示業依「大學辦理招生規定審核作業要點」第9條第4項「所有應試評分資料應妥予保存一年</w:t>
      </w:r>
      <w:r w:rsidRPr="00FA3570">
        <w:rPr>
          <w:rFonts w:hint="eastAsia"/>
        </w:rPr>
        <w:t>…</w:t>
      </w:r>
      <w:proofErr w:type="gramStart"/>
      <w:r w:rsidRPr="00FA3570">
        <w:rPr>
          <w:rFonts w:hint="eastAsia"/>
        </w:rPr>
        <w:t>…</w:t>
      </w:r>
      <w:proofErr w:type="gramEnd"/>
      <w:r w:rsidRPr="00FA3570">
        <w:t>」其資料已進行銷毀</w:t>
      </w:r>
      <w:r w:rsidRPr="00FA3570">
        <w:rPr>
          <w:rFonts w:hint="eastAsia"/>
        </w:rPr>
        <w:t>。</w:t>
      </w:r>
    </w:p>
    <w:p w:rsidR="004C2D7C" w:rsidRPr="00FA3570" w:rsidRDefault="004C2D7C" w:rsidP="004C2D7C">
      <w:pPr>
        <w:pStyle w:val="5"/>
        <w:numPr>
          <w:ilvl w:val="4"/>
          <w:numId w:val="1"/>
        </w:numPr>
        <w:rPr>
          <w:specVanish/>
        </w:rPr>
      </w:pPr>
      <w:r w:rsidRPr="00FA3570">
        <w:rPr>
          <w:rFonts w:hint="eastAsia"/>
        </w:rPr>
        <w:t>教育部據上行文</w:t>
      </w:r>
      <w:r w:rsidRPr="00FA3570">
        <w:t>糾正</w:t>
      </w:r>
      <w:r w:rsidRPr="00FA3570">
        <w:rPr>
          <w:rFonts w:hint="eastAsia"/>
        </w:rPr>
        <w:t>亞洲大學103學年度招生問題，</w:t>
      </w:r>
      <w:r w:rsidRPr="00FA3570">
        <w:t>並考量</w:t>
      </w:r>
      <w:r w:rsidRPr="00FA3570">
        <w:rPr>
          <w:rFonts w:hint="eastAsia"/>
        </w:rPr>
        <w:t>亞洲大學</w:t>
      </w:r>
      <w:r w:rsidRPr="00FA3570">
        <w:t>112</w:t>
      </w:r>
      <w:proofErr w:type="gramStart"/>
      <w:r w:rsidRPr="00FA3570">
        <w:t>學年度碩博士</w:t>
      </w:r>
      <w:proofErr w:type="gramEnd"/>
      <w:r w:rsidRPr="00FA3570">
        <w:t>班招生簡章業已公告並辦理招生作業中</w:t>
      </w:r>
      <w:r w:rsidRPr="00FA3570">
        <w:rPr>
          <w:rFonts w:hint="eastAsia"/>
        </w:rPr>
        <w:t>，爰</w:t>
      </w:r>
      <w:r w:rsidRPr="00FA3570">
        <w:t>自</w:t>
      </w:r>
      <w:r w:rsidRPr="00FA3570">
        <w:rPr>
          <w:rFonts w:hint="eastAsia"/>
        </w:rPr>
        <w:t>113</w:t>
      </w:r>
      <w:r w:rsidRPr="00FA3570">
        <w:t>學年度起廢止</w:t>
      </w:r>
      <w:r w:rsidRPr="00FA3570">
        <w:rPr>
          <w:rFonts w:hint="eastAsia"/>
        </w:rPr>
        <w:t>該校</w:t>
      </w:r>
      <w:r w:rsidRPr="00FA3570">
        <w:t>適用</w:t>
      </w:r>
      <w:r w:rsidRPr="00FA3570">
        <w:rPr>
          <w:rFonts w:hint="eastAsia"/>
        </w:rPr>
        <w:t>吳寶春條款</w:t>
      </w:r>
      <w:r w:rsidRPr="00FA3570">
        <w:t>之核可</w:t>
      </w:r>
      <w:r w:rsidRPr="00FA3570">
        <w:rPr>
          <w:rStyle w:val="afd"/>
        </w:rPr>
        <w:footnoteReference w:id="7"/>
      </w:r>
      <w:r w:rsidRPr="00FA3570">
        <w:rPr>
          <w:rFonts w:hint="eastAsia"/>
        </w:rPr>
        <w:t>。</w:t>
      </w:r>
    </w:p>
    <w:p w:rsidR="004C2D7C" w:rsidRPr="00FA3570" w:rsidRDefault="004C2D7C" w:rsidP="004C2D7C">
      <w:pPr>
        <w:pStyle w:val="3"/>
        <w:numPr>
          <w:ilvl w:val="2"/>
          <w:numId w:val="1"/>
        </w:numPr>
      </w:pPr>
      <w:bookmarkStart w:id="81" w:name="_Toc135055471"/>
      <w:r w:rsidRPr="00FA3570">
        <w:rPr>
          <w:rFonts w:hint="eastAsia"/>
        </w:rPr>
        <w:t>據上，在大專校院未能嚴格把關之情形下，吳寶春條款產生「大學入學考試過於寬鬆或學位授予涉及違反學術倫理」等爭議，已嚴重打擊高等教育形象，而教育部掌握吳寶春條款實況之具體作法，實際上卻僅是「被動、事後查處」，以及於「教學品質查核作業」時「抽查」學校資料一併注意等，實嫌消極致高等教育品質承受傷害風險，核有</w:t>
      </w:r>
      <w:proofErr w:type="gramStart"/>
      <w:r w:rsidRPr="00FA3570">
        <w:rPr>
          <w:rFonts w:hint="eastAsia"/>
        </w:rPr>
        <w:t>怠</w:t>
      </w:r>
      <w:proofErr w:type="gramEnd"/>
      <w:r w:rsidRPr="00FA3570">
        <w:rPr>
          <w:rFonts w:hint="eastAsia"/>
        </w:rPr>
        <w:t>失。</w:t>
      </w:r>
      <w:bookmarkEnd w:id="81"/>
    </w:p>
    <w:p w:rsidR="004C2D7C" w:rsidRPr="00FA3570" w:rsidRDefault="004C2D7C" w:rsidP="004C2D7C">
      <w:pPr>
        <w:pStyle w:val="3"/>
        <w:numPr>
          <w:ilvl w:val="2"/>
          <w:numId w:val="1"/>
        </w:numPr>
        <w:rPr>
          <w:bCs w:val="0"/>
        </w:rPr>
      </w:pPr>
      <w:bookmarkStart w:id="82" w:name="_Toc135055472"/>
      <w:r w:rsidRPr="00FA3570">
        <w:rPr>
          <w:rFonts w:hint="eastAsia"/>
        </w:rPr>
        <w:t>上述爭議事件後，教育部</w:t>
      </w:r>
      <w:r w:rsidRPr="00FA3570">
        <w:rPr>
          <w:bCs w:val="0"/>
        </w:rPr>
        <w:t>分別於111年8月15日大學校院招生檢討會議，及111年9月7日大專校院教務主管會議，籲請各校審慎辦理</w:t>
      </w:r>
      <w:r w:rsidRPr="00FA3570">
        <w:rPr>
          <w:rFonts w:hint="eastAsia"/>
          <w:bCs w:val="0"/>
        </w:rPr>
        <w:t>吳寶春條款招生事宜，</w:t>
      </w:r>
      <w:r w:rsidRPr="00FA3570">
        <w:rPr>
          <w:rFonts w:hint="eastAsia"/>
        </w:rPr>
        <w:t>並</w:t>
      </w:r>
      <w:r w:rsidRPr="00FA3570">
        <w:rPr>
          <w:rFonts w:hint="eastAsia"/>
          <w:bCs w:val="0"/>
        </w:rPr>
        <w:t>申明</w:t>
      </w:r>
      <w:r w:rsidRPr="00FA3570">
        <w:t>學校系所如經</w:t>
      </w:r>
      <w:r w:rsidRPr="00FA3570">
        <w:rPr>
          <w:rFonts w:hint="eastAsia"/>
        </w:rPr>
        <w:t>教育</w:t>
      </w:r>
      <w:r w:rsidRPr="00FA3570">
        <w:t>部查證未符規定或有浮濫情事，</w:t>
      </w:r>
      <w:r w:rsidRPr="00FA3570">
        <w:rPr>
          <w:rFonts w:hint="eastAsia"/>
        </w:rPr>
        <w:t>且</w:t>
      </w:r>
      <w:r w:rsidRPr="00FA3570">
        <w:t>未依限</w:t>
      </w:r>
      <w:r w:rsidRPr="00FA3570">
        <w:rPr>
          <w:bCs w:val="0"/>
        </w:rPr>
        <w:t>改善</w:t>
      </w:r>
      <w:r w:rsidRPr="00FA3570">
        <w:rPr>
          <w:rFonts w:hint="eastAsia"/>
          <w:bCs w:val="0"/>
        </w:rPr>
        <w:t>者</w:t>
      </w:r>
      <w:r w:rsidRPr="00FA3570">
        <w:rPr>
          <w:bCs w:val="0"/>
        </w:rPr>
        <w:t>，將取消其適用該彈性入學規定的資格</w:t>
      </w:r>
      <w:r w:rsidRPr="00FA3570">
        <w:rPr>
          <w:rFonts w:hint="eastAsia"/>
          <w:bCs w:val="0"/>
        </w:rPr>
        <w:t>；</w:t>
      </w:r>
      <w:r w:rsidRPr="00FA3570">
        <w:t>111</w:t>
      </w:r>
      <w:r w:rsidRPr="00FA3570">
        <w:rPr>
          <w:rFonts w:hint="eastAsia"/>
        </w:rPr>
        <w:t>年</w:t>
      </w:r>
      <w:r w:rsidRPr="00FA3570">
        <w:t>10</w:t>
      </w:r>
      <w:r w:rsidRPr="00FA3570">
        <w:rPr>
          <w:rFonts w:hint="eastAsia"/>
        </w:rPr>
        <w:t>月</w:t>
      </w:r>
      <w:r w:rsidRPr="00FA3570">
        <w:t>24</w:t>
      </w:r>
      <w:r w:rsidRPr="00FA3570">
        <w:rPr>
          <w:rFonts w:hint="eastAsia"/>
        </w:rPr>
        <w:t>日教育部亦行文予</w:t>
      </w:r>
      <w:r w:rsidRPr="00FA3570">
        <w:rPr>
          <w:rFonts w:hint="eastAsia"/>
        </w:rPr>
        <w:lastRenderedPageBreak/>
        <w:t>適用吳寶春條款招生之技專校院說明略以</w:t>
      </w:r>
      <w:r w:rsidRPr="00FA3570">
        <w:rPr>
          <w:rStyle w:val="afd"/>
        </w:rPr>
        <w:footnoteReference w:id="8"/>
      </w:r>
      <w:r w:rsidRPr="00FA3570">
        <w:rPr>
          <w:rFonts w:hint="eastAsia"/>
        </w:rPr>
        <w:t>，爾後針對吳寶春條款入學者之資格條件，須就「專業領域具卓越表現」嚴格審核，倘資格過於寬鬆（如僅規範考生年齡、工作年資等）或無限定招收人數上限（建議以核定該系科組招生名額</w:t>
      </w:r>
      <w:r w:rsidRPr="00FA3570">
        <w:t>10%</w:t>
      </w:r>
      <w:r w:rsidRPr="00FA3570">
        <w:rPr>
          <w:rFonts w:hint="eastAsia"/>
        </w:rPr>
        <w:t>為限），教育部將視情節取消學校適用該招生資格，並列計行政缺失及納入獎</w:t>
      </w:r>
      <w:proofErr w:type="gramStart"/>
      <w:r w:rsidRPr="00FA3570">
        <w:rPr>
          <w:rFonts w:hint="eastAsia"/>
        </w:rPr>
        <w:t>補助參據</w:t>
      </w:r>
      <w:proofErr w:type="gramEnd"/>
      <w:r w:rsidRPr="00FA3570">
        <w:rPr>
          <w:rFonts w:hint="eastAsia"/>
        </w:rPr>
        <w:t>。茲以教育部在111年「</w:t>
      </w:r>
      <w:r w:rsidRPr="00FA3570">
        <w:rPr>
          <w:bCs w:val="0"/>
        </w:rPr>
        <w:t>大學校院招生檢討會議</w:t>
      </w:r>
      <w:r w:rsidRPr="00FA3570">
        <w:rPr>
          <w:rFonts w:hint="eastAsia"/>
        </w:rPr>
        <w:t>」、「</w:t>
      </w:r>
      <w:r w:rsidRPr="00FA3570">
        <w:rPr>
          <w:bCs w:val="0"/>
        </w:rPr>
        <w:t>大專校院教務主管會議</w:t>
      </w:r>
      <w:r w:rsidRPr="00FA3570">
        <w:rPr>
          <w:rFonts w:hint="eastAsia"/>
        </w:rPr>
        <w:t>」以及相關宣達之公文中，已對吳寶春條款適用</w:t>
      </w:r>
      <w:r w:rsidRPr="00FA3570">
        <w:rPr>
          <w:rFonts w:hint="eastAsia"/>
          <w:bCs w:val="0"/>
        </w:rPr>
        <w:t>學校，提出較以往更加具體的審認原則與程序要求，諸如：1.對於欲</w:t>
      </w:r>
      <w:r w:rsidRPr="00FA3570">
        <w:rPr>
          <w:bCs w:val="0"/>
        </w:rPr>
        <w:t>以</w:t>
      </w:r>
      <w:r w:rsidRPr="00FA3570">
        <w:rPr>
          <w:rFonts w:hint="eastAsia"/>
          <w:bCs w:val="0"/>
        </w:rPr>
        <w:t>吳寶春條款入學之考生</w:t>
      </w:r>
      <w:r w:rsidRPr="00FA3570">
        <w:rPr>
          <w:bCs w:val="0"/>
        </w:rPr>
        <w:t>，需嚴謹審定「該專業表現是否與擬報考系所的專業相關，以及是否具備足夠的先備能力」，以確保入學後順利銜接學習</w:t>
      </w:r>
      <w:r w:rsidRPr="00FA3570">
        <w:rPr>
          <w:rFonts w:hint="eastAsia"/>
          <w:bCs w:val="0"/>
        </w:rPr>
        <w:t>；2.</w:t>
      </w:r>
      <w:r w:rsidRPr="00FA3570">
        <w:rPr>
          <w:bCs w:val="0"/>
        </w:rPr>
        <w:t>學校審定時，應邀請</w:t>
      </w:r>
      <w:r w:rsidRPr="00FA3570">
        <w:t>相關領域的學者專家進行專業審查，再</w:t>
      </w:r>
      <w:proofErr w:type="gramStart"/>
      <w:r w:rsidRPr="00FA3570">
        <w:t>提送校</w:t>
      </w:r>
      <w:r w:rsidRPr="00FA3570">
        <w:rPr>
          <w:rFonts w:hint="eastAsia"/>
        </w:rPr>
        <w:t>級</w:t>
      </w:r>
      <w:proofErr w:type="gramEnd"/>
      <w:r w:rsidRPr="00FA3570">
        <w:t>招</w:t>
      </w:r>
      <w:r w:rsidRPr="00FA3570">
        <w:rPr>
          <w:rFonts w:hint="eastAsia"/>
        </w:rPr>
        <w:t>生</w:t>
      </w:r>
      <w:r w:rsidRPr="00FA3570">
        <w:t>委</w:t>
      </w:r>
      <w:r w:rsidRPr="00FA3570">
        <w:rPr>
          <w:rFonts w:hint="eastAsia"/>
        </w:rPr>
        <w:t>員</w:t>
      </w:r>
      <w:r w:rsidRPr="00FA3570">
        <w:t>會討論確認，以符嚴謹法度</w:t>
      </w:r>
      <w:r w:rsidRPr="00FA3570">
        <w:rPr>
          <w:rFonts w:hint="eastAsia"/>
        </w:rPr>
        <w:t>。又，對於吳寶春條款中「專業領域具卓越成就表現」之認定基準，教育部亦對大學提出「建議以核定該</w:t>
      </w:r>
      <w:proofErr w:type="gramStart"/>
      <w:r w:rsidRPr="00FA3570">
        <w:rPr>
          <w:rFonts w:hint="eastAsia"/>
        </w:rPr>
        <w:t>系科組招生</w:t>
      </w:r>
      <w:proofErr w:type="gramEnd"/>
      <w:r w:rsidRPr="00FA3570">
        <w:rPr>
          <w:rFonts w:hint="eastAsia"/>
        </w:rPr>
        <w:t>名額</w:t>
      </w:r>
      <w:r w:rsidRPr="00FA3570">
        <w:t>10%</w:t>
      </w:r>
      <w:r w:rsidRPr="00FA3570">
        <w:rPr>
          <w:rFonts w:hint="eastAsia"/>
        </w:rPr>
        <w:t>為限」、「資格不宜寬鬆至僅規範考生年齡、工作年資等」等。換言之，</w:t>
      </w:r>
      <w:r w:rsidRPr="00FA3570">
        <w:rPr>
          <w:rFonts w:hAnsi="標楷體" w:hint="eastAsia"/>
          <w:spacing w:val="-6"/>
          <w:szCs w:val="32"/>
        </w:rPr>
        <w:t>教育部與</w:t>
      </w:r>
      <w:proofErr w:type="gramStart"/>
      <w:r w:rsidRPr="00FA3570">
        <w:rPr>
          <w:rFonts w:hAnsi="標楷體" w:hint="eastAsia"/>
          <w:spacing w:val="-6"/>
          <w:szCs w:val="32"/>
        </w:rPr>
        <w:t>大學均應維護</w:t>
      </w:r>
      <w:proofErr w:type="gramEnd"/>
      <w:r w:rsidRPr="00FA3570">
        <w:rPr>
          <w:rFonts w:hAnsi="標楷體" w:hint="eastAsia"/>
          <w:spacing w:val="-6"/>
          <w:szCs w:val="32"/>
        </w:rPr>
        <w:t>高等教育品質，在兼顧大學自治、實踐學術自律的前提下，教育部與大學應共同研處吳寶春條款之防弊措施。</w:t>
      </w:r>
      <w:proofErr w:type="gramStart"/>
      <w:r w:rsidRPr="00FA3570">
        <w:rPr>
          <w:rFonts w:hAnsi="標楷體" w:hint="eastAsia"/>
          <w:spacing w:val="-6"/>
          <w:szCs w:val="32"/>
        </w:rPr>
        <w:t>另</w:t>
      </w:r>
      <w:proofErr w:type="gramEnd"/>
      <w:r w:rsidRPr="00FA3570">
        <w:rPr>
          <w:rFonts w:hAnsi="標楷體" w:hint="eastAsia"/>
          <w:spacing w:val="-6"/>
          <w:szCs w:val="32"/>
        </w:rPr>
        <w:t>，</w:t>
      </w:r>
      <w:proofErr w:type="gramStart"/>
      <w:r w:rsidRPr="00FA3570">
        <w:rPr>
          <w:rFonts w:hint="eastAsia"/>
        </w:rPr>
        <w:t>教育部高教司梁</w:t>
      </w:r>
      <w:r w:rsidRPr="00FA3570">
        <w:rPr>
          <w:rFonts w:hint="eastAsia"/>
          <w:bCs w:val="0"/>
        </w:rPr>
        <w:t>副司</w:t>
      </w:r>
      <w:proofErr w:type="gramEnd"/>
      <w:r w:rsidRPr="00FA3570">
        <w:rPr>
          <w:rFonts w:hint="eastAsia"/>
          <w:bCs w:val="0"/>
        </w:rPr>
        <w:t>長到監察院說明時表示：「樹德科技大學一案是專業認定標準太寬鬆、亞洲大學一案是報名證明文件未經校級招生委員會審核。現行機制是尊重大學自主。但目前本部有在思考，是否要求學校要將審核機制報部。」等語，亦待評估落實以竟事功。</w:t>
      </w:r>
      <w:bookmarkEnd w:id="82"/>
    </w:p>
    <w:p w:rsidR="004B3EAD" w:rsidRPr="00FA3570" w:rsidRDefault="004C2D7C" w:rsidP="004C2D7C">
      <w:pPr>
        <w:pStyle w:val="3"/>
        <w:numPr>
          <w:ilvl w:val="2"/>
          <w:numId w:val="1"/>
        </w:numPr>
        <w:rPr>
          <w:bCs w:val="0"/>
        </w:rPr>
      </w:pPr>
      <w:r w:rsidRPr="00FA3570">
        <w:rPr>
          <w:rFonts w:hint="eastAsia"/>
          <w:bCs w:val="0"/>
        </w:rPr>
        <w:lastRenderedPageBreak/>
        <w:t>綜上，102年間我國知名</w:t>
      </w:r>
      <w:r w:rsidRPr="00FA3570">
        <w:rPr>
          <w:bCs w:val="0"/>
        </w:rPr>
        <w:t>麵包師傅吳寶春</w:t>
      </w:r>
      <w:r w:rsidRPr="00FA3570">
        <w:rPr>
          <w:rFonts w:hint="eastAsia"/>
          <w:bCs w:val="0"/>
        </w:rPr>
        <w:t>先生受限於大學招生法規，無法報考</w:t>
      </w:r>
      <w:r w:rsidRPr="00FA3570">
        <w:rPr>
          <w:bCs w:val="0"/>
        </w:rPr>
        <w:t>國內大學EMBA</w:t>
      </w:r>
      <w:r w:rsidRPr="00FA3570">
        <w:rPr>
          <w:rFonts w:hint="eastAsia"/>
          <w:bCs w:val="0"/>
        </w:rPr>
        <w:t>，遠赴新加坡就學一事，促成「</w:t>
      </w:r>
      <w:r w:rsidRPr="00FA3570">
        <w:rPr>
          <w:bCs w:val="0"/>
        </w:rPr>
        <w:t>入學大學同等學力認定標準</w:t>
      </w:r>
      <w:r w:rsidRPr="00FA3570">
        <w:rPr>
          <w:rFonts w:hint="eastAsia"/>
          <w:bCs w:val="0"/>
        </w:rPr>
        <w:t>」修正，放寬大學得招收「專業領域具卓越成就表現者」入學，此即謂「吳寶春條款」。依教育部最新之統計，現有43所一般大學、37所技專校院適用吳寶春條款，並以招收碩士班學生為大宗，且4</w:t>
      </w:r>
      <w:r w:rsidRPr="00FA3570">
        <w:rPr>
          <w:bCs w:val="0"/>
        </w:rPr>
        <w:t>,</w:t>
      </w:r>
      <w:r w:rsidRPr="00FA3570">
        <w:rPr>
          <w:rFonts w:hint="eastAsia"/>
          <w:bCs w:val="0"/>
        </w:rPr>
        <w:t>301名碩士階段的吳寶春條款學生，有3</w:t>
      </w:r>
      <w:r w:rsidRPr="00FA3570">
        <w:rPr>
          <w:bCs w:val="0"/>
        </w:rPr>
        <w:t>,</w:t>
      </w:r>
      <w:r w:rsidRPr="00FA3570">
        <w:rPr>
          <w:rFonts w:hint="eastAsia"/>
          <w:bCs w:val="0"/>
        </w:rPr>
        <w:t>395人之入學前最高學歷為「高中職」，占78.9%、有50人之入學前最高學歷為「國小」，占1.16%；</w:t>
      </w:r>
      <w:r w:rsidR="00066481" w:rsidRPr="00FA3570">
        <w:rPr>
          <w:rFonts w:hint="eastAsia"/>
          <w:bCs w:val="0"/>
        </w:rPr>
        <w:t>顯見，「吳寶春條款」提供專業領域具卓越成就者接受高等教育以精進、提昇之機會，符合促進國人終身學習，大學多元開放的理念，其立法</w:t>
      </w:r>
      <w:r w:rsidR="00427FDA">
        <w:rPr>
          <w:rFonts w:hint="eastAsia"/>
          <w:bCs w:val="0"/>
        </w:rPr>
        <w:t>意旨</w:t>
      </w:r>
      <w:r w:rsidR="00066481" w:rsidRPr="00FA3570">
        <w:rPr>
          <w:rFonts w:hint="eastAsia"/>
          <w:bCs w:val="0"/>
        </w:rPr>
        <w:t>意義深遠。然而，在大專校院未能嚴格把關之情形下，吳寶春條款產生「大學入學考試過於寬鬆或學位授予涉及違反學術倫理」等爭議，已嚴重打擊高等教育形象，教育部卻</w:t>
      </w:r>
      <w:r w:rsidR="00436879">
        <w:rPr>
          <w:rFonts w:hint="eastAsia"/>
          <w:bCs w:val="0"/>
        </w:rPr>
        <w:t>僅</w:t>
      </w:r>
      <w:r w:rsidR="00066481" w:rsidRPr="00FA3570">
        <w:rPr>
          <w:rFonts w:hint="eastAsia"/>
          <w:bCs w:val="0"/>
        </w:rPr>
        <w:t>採取被動、事後查處，以及於「教學品質查核作業」時「抽查」學校資料一併注意等作法，對於吳寶春條款實況之掌握態度消極，致高等教育品質承受傷害風險，核有</w:t>
      </w:r>
      <w:proofErr w:type="gramStart"/>
      <w:r w:rsidR="00066481" w:rsidRPr="00FA3570">
        <w:rPr>
          <w:rFonts w:hint="eastAsia"/>
          <w:bCs w:val="0"/>
        </w:rPr>
        <w:t>怠</w:t>
      </w:r>
      <w:proofErr w:type="gramEnd"/>
      <w:r w:rsidR="00066481" w:rsidRPr="00FA3570">
        <w:rPr>
          <w:rFonts w:hint="eastAsia"/>
          <w:bCs w:val="0"/>
        </w:rPr>
        <w:t>失</w:t>
      </w:r>
      <w:r w:rsidR="004B3EAD" w:rsidRPr="00FA3570">
        <w:rPr>
          <w:rFonts w:hint="eastAsia"/>
          <w:bCs w:val="0"/>
        </w:rPr>
        <w:t>。</w:t>
      </w:r>
      <w:bookmarkEnd w:id="79"/>
    </w:p>
    <w:p w:rsidR="004B3EAD" w:rsidRPr="00FA3570" w:rsidRDefault="004B3EAD" w:rsidP="004B3EAD">
      <w:pPr>
        <w:pStyle w:val="3"/>
        <w:numPr>
          <w:ilvl w:val="0"/>
          <w:numId w:val="0"/>
        </w:numPr>
        <w:ind w:left="1361"/>
      </w:pPr>
    </w:p>
    <w:p w:rsidR="004C2D7C" w:rsidRPr="00FA3570" w:rsidRDefault="004C2D7C" w:rsidP="004C2D7C">
      <w:pPr>
        <w:pStyle w:val="2"/>
        <w:numPr>
          <w:ilvl w:val="1"/>
          <w:numId w:val="1"/>
        </w:numPr>
        <w:ind w:left="1106"/>
        <w:rPr>
          <w:b w:val="0"/>
        </w:rPr>
      </w:pPr>
      <w:bookmarkStart w:id="83" w:name="_Toc135055474"/>
      <w:r w:rsidRPr="00FA3570">
        <w:rPr>
          <w:rFonts w:hAnsi="標楷體" w:hint="eastAsia"/>
          <w:spacing w:val="-6"/>
          <w:szCs w:val="32"/>
        </w:rPr>
        <w:t>吳寶春條款招生對象乃實務專業取向者，惟吳寶春條款碩士學生以學術論文畢業者，整體高達89.21%，</w:t>
      </w:r>
      <w:proofErr w:type="gramStart"/>
      <w:r w:rsidRPr="00FA3570">
        <w:rPr>
          <w:rFonts w:hAnsi="標楷體" w:hint="eastAsia"/>
          <w:spacing w:val="-6"/>
          <w:szCs w:val="32"/>
        </w:rPr>
        <w:t>且技專</w:t>
      </w:r>
      <w:proofErr w:type="gramEnd"/>
      <w:r w:rsidRPr="00FA3570">
        <w:rPr>
          <w:rFonts w:hAnsi="標楷體" w:hint="eastAsia"/>
          <w:spacing w:val="-6"/>
          <w:szCs w:val="32"/>
        </w:rPr>
        <w:t>校院</w:t>
      </w:r>
      <w:r w:rsidRPr="00FA3570">
        <w:rPr>
          <w:rFonts w:hint="eastAsia"/>
          <w:szCs w:val="36"/>
        </w:rPr>
        <w:t>替代性論文占比僅1.96%</w:t>
      </w:r>
      <w:r w:rsidRPr="00FA3570">
        <w:rPr>
          <w:rFonts w:hint="eastAsia"/>
        </w:rPr>
        <w:t>，甚至低於</w:t>
      </w:r>
      <w:r w:rsidRPr="00FA3570">
        <w:rPr>
          <w:rFonts w:hint="eastAsia"/>
          <w:szCs w:val="36"/>
        </w:rPr>
        <w:t>一般大</w:t>
      </w:r>
      <w:r w:rsidRPr="00FA3570">
        <w:rPr>
          <w:rFonts w:hAnsi="標楷體" w:hint="eastAsia"/>
          <w:spacing w:val="-6"/>
          <w:szCs w:val="32"/>
        </w:rPr>
        <w:t>學；公立技專校院262名吳寶春條款學生，竟全數撰寫學術論文、替代性論文比率為零，顯然有違碩士學位特殊屬性之立法宗旨。</w:t>
      </w:r>
      <w:bookmarkEnd w:id="83"/>
      <w:r w:rsidRPr="00FA3570">
        <w:rPr>
          <w:rFonts w:hAnsi="標楷體" w:hint="eastAsia"/>
          <w:spacing w:val="-6"/>
          <w:szCs w:val="32"/>
        </w:rPr>
        <w:t>教育部對於吳寶春條款碩士學生提出替代性論文</w:t>
      </w:r>
      <w:proofErr w:type="gramStart"/>
      <w:r w:rsidRPr="00FA3570">
        <w:rPr>
          <w:rFonts w:hAnsi="標楷體" w:hint="eastAsia"/>
          <w:spacing w:val="-6"/>
          <w:szCs w:val="32"/>
        </w:rPr>
        <w:t>占比極低</w:t>
      </w:r>
      <w:proofErr w:type="gramEnd"/>
      <w:r w:rsidRPr="00FA3570">
        <w:rPr>
          <w:rFonts w:hAnsi="標楷體" w:hint="eastAsia"/>
          <w:spacing w:val="-6"/>
          <w:szCs w:val="32"/>
        </w:rPr>
        <w:t>之不合理現象，竟長期不察，自監察院調查後始予注意並開始研處，</w:t>
      </w:r>
      <w:proofErr w:type="gramStart"/>
      <w:r w:rsidRPr="00FA3570">
        <w:rPr>
          <w:rFonts w:hAnsi="標楷體" w:hint="eastAsia"/>
          <w:spacing w:val="-6"/>
          <w:szCs w:val="32"/>
        </w:rPr>
        <w:t>難謂善</w:t>
      </w:r>
      <w:proofErr w:type="gramEnd"/>
      <w:r w:rsidRPr="00FA3570">
        <w:rPr>
          <w:rFonts w:hAnsi="標楷體" w:hint="eastAsia"/>
          <w:spacing w:val="-6"/>
          <w:szCs w:val="32"/>
        </w:rPr>
        <w:t>盡高等教育政策主管機關職責，核有違失</w:t>
      </w:r>
      <w:r w:rsidRPr="00FA3570">
        <w:rPr>
          <w:rFonts w:hAnsi="標楷體" w:hint="eastAsia"/>
          <w:b w:val="0"/>
          <w:spacing w:val="-6"/>
          <w:szCs w:val="32"/>
        </w:rPr>
        <w:t>。</w:t>
      </w:r>
    </w:p>
    <w:p w:rsidR="004C2D7C" w:rsidRPr="00FA3570" w:rsidRDefault="004C2D7C" w:rsidP="004C2D7C">
      <w:pPr>
        <w:pStyle w:val="3"/>
        <w:numPr>
          <w:ilvl w:val="2"/>
          <w:numId w:val="1"/>
        </w:numPr>
        <w:rPr>
          <w:rFonts w:hAnsi="標楷體"/>
          <w:spacing w:val="-6"/>
          <w:szCs w:val="32"/>
        </w:rPr>
      </w:pPr>
      <w:bookmarkStart w:id="84" w:name="_Hlk136442495"/>
      <w:bookmarkStart w:id="85" w:name="_Toc135055475"/>
      <w:r w:rsidRPr="00FA3570">
        <w:rPr>
          <w:rFonts w:hAnsi="標楷體" w:hint="eastAsia"/>
          <w:spacing w:val="-6"/>
          <w:szCs w:val="32"/>
        </w:rPr>
        <w:lastRenderedPageBreak/>
        <w:t>高等教育、技術職業教育政策之規劃，大專校院發展、輔導及行政監督等事宜，乃教育部之執掌；此於「教育部組織法」第2條已明文揭示，</w:t>
      </w:r>
      <w:proofErr w:type="gramStart"/>
      <w:r w:rsidRPr="00FA3570">
        <w:rPr>
          <w:rFonts w:hAnsi="標楷體" w:hint="eastAsia"/>
          <w:spacing w:val="-6"/>
          <w:szCs w:val="32"/>
        </w:rPr>
        <w:t>先予敘明</w:t>
      </w:r>
      <w:proofErr w:type="gramEnd"/>
      <w:r w:rsidRPr="00FA3570">
        <w:rPr>
          <w:rFonts w:hAnsi="標楷體" w:hint="eastAsia"/>
          <w:spacing w:val="-6"/>
          <w:szCs w:val="32"/>
        </w:rPr>
        <w:t>。</w:t>
      </w:r>
      <w:bookmarkEnd w:id="84"/>
    </w:p>
    <w:p w:rsidR="004C2D7C" w:rsidRPr="00FA3570" w:rsidRDefault="004C2D7C" w:rsidP="004C2D7C">
      <w:pPr>
        <w:pStyle w:val="3"/>
        <w:numPr>
          <w:ilvl w:val="2"/>
          <w:numId w:val="1"/>
        </w:numPr>
      </w:pPr>
      <w:r w:rsidRPr="00FA3570">
        <w:rPr>
          <w:rFonts w:hAnsi="標楷體" w:hint="eastAsia"/>
          <w:spacing w:val="-6"/>
          <w:szCs w:val="32"/>
        </w:rPr>
        <w:t>以前述教育部廢止其吳寶春條款招生適用核可的二校案例而言，教育部指出，招生階段方面的爭議分別為「</w:t>
      </w:r>
      <w:r w:rsidRPr="00FA3570">
        <w:rPr>
          <w:rFonts w:hint="eastAsia"/>
          <w:bCs w:val="0"/>
        </w:rPr>
        <w:t>專業領域具卓越成就」一事之認定標準太寬鬆，以及同意報考之校內審議程序未符合吳寶春條款規定。</w:t>
      </w:r>
      <w:proofErr w:type="gramStart"/>
      <w:r w:rsidRPr="00FA3570">
        <w:rPr>
          <w:rFonts w:hint="eastAsia"/>
          <w:bCs w:val="0"/>
        </w:rPr>
        <w:t>此外，</w:t>
      </w:r>
      <w:proofErr w:type="gramEnd"/>
      <w:r w:rsidRPr="00FA3570">
        <w:rPr>
          <w:rFonts w:hint="eastAsia"/>
          <w:bCs w:val="0"/>
        </w:rPr>
        <w:t>教育部查復表示：「適用吳寶春條款招生之學校，多數以報考學生在相關領域之經歷為評量標準，並非以其入學前之學歷為認定標準」、「取得同等學力只是擁有報考大學、研究所的資格，不代表一定能錄取，錄取後也不代表一定能取得學歷，教育部將會偕同大學做好把關，確</w:t>
      </w:r>
      <w:r w:rsidRPr="00FA3570">
        <w:rPr>
          <w:rFonts w:hAnsi="標楷體" w:hint="eastAsia"/>
          <w:spacing w:val="-6"/>
          <w:szCs w:val="32"/>
        </w:rPr>
        <w:t>保畢業生具有一定的專業素養。」等語。顯示，吳寶春條款學生修業情形、學位考試方式等，亦為吳寶春條款執行情形之把關機制一環，同樣涉及高等教育品質之良</w:t>
      </w:r>
      <w:proofErr w:type="gramStart"/>
      <w:r w:rsidRPr="00FA3570">
        <w:rPr>
          <w:rFonts w:hAnsi="標楷體" w:hint="eastAsia"/>
          <w:spacing w:val="-6"/>
          <w:szCs w:val="32"/>
        </w:rPr>
        <w:t>莠</w:t>
      </w:r>
      <w:proofErr w:type="gramEnd"/>
      <w:r w:rsidRPr="00FA3570">
        <w:rPr>
          <w:rFonts w:hAnsi="標楷體" w:hint="eastAsia"/>
          <w:spacing w:val="-6"/>
          <w:szCs w:val="32"/>
        </w:rPr>
        <w:t>。</w:t>
      </w:r>
      <w:bookmarkEnd w:id="85"/>
    </w:p>
    <w:p w:rsidR="004C2D7C" w:rsidRPr="00FA3570" w:rsidRDefault="004C2D7C" w:rsidP="004C2D7C">
      <w:pPr>
        <w:pStyle w:val="3"/>
        <w:numPr>
          <w:ilvl w:val="2"/>
          <w:numId w:val="1"/>
        </w:numPr>
      </w:pPr>
      <w:bookmarkStart w:id="86" w:name="_Toc135055476"/>
      <w:r w:rsidRPr="00FA3570">
        <w:rPr>
          <w:rFonts w:hint="eastAsia"/>
        </w:rPr>
        <w:t>其次，吳寶春條款賦予大學招生彈性，則</w:t>
      </w:r>
      <w:r w:rsidRPr="00FA3570">
        <w:rPr>
          <w:rFonts w:hAnsi="標楷體" w:hint="eastAsia"/>
          <w:spacing w:val="-6"/>
          <w:szCs w:val="32"/>
        </w:rPr>
        <w:t>學位授予法第7條規定「藝術類、應用科技類或體育運動類碩士班之學生碩士論文，得以作品、成就證明連同書面報告或以技術報告代替；各該類科之認定基準，由各校經教務相關之校級會議通過後實施(第2項參照)；又專業實務之碩士班學生碩士論文，得以專業實務報告代替(第3項參照)。」等，顯示因碩士學位專業特殊屬性之不同，法制上另賦予學校授予學位事宜方面的彈性空間，以符實際。</w:t>
      </w:r>
      <w:bookmarkEnd w:id="86"/>
    </w:p>
    <w:p w:rsidR="004C2D7C" w:rsidRPr="00FA3570" w:rsidRDefault="004C2D7C" w:rsidP="004C2D7C">
      <w:pPr>
        <w:pStyle w:val="3"/>
        <w:numPr>
          <w:ilvl w:val="2"/>
          <w:numId w:val="1"/>
        </w:numPr>
      </w:pPr>
      <w:bookmarkStart w:id="87" w:name="_Toc135055477"/>
      <w:r w:rsidRPr="00FA3570">
        <w:rPr>
          <w:rFonts w:hAnsi="標楷體" w:hint="eastAsia"/>
          <w:spacing w:val="-6"/>
          <w:szCs w:val="32"/>
        </w:rPr>
        <w:t>基於學位授予法第16條規定，</w:t>
      </w:r>
      <w:r w:rsidRPr="00FA3570">
        <w:t>取得博士、碩士學位者，應將其取得學位之論文、書面報告、技術報告或專業實務報告經由學校以文件、錄影帶、錄音帶、光碟或其他方式連同電子檔送國家圖書館及所屬學校圖書館保存之</w:t>
      </w:r>
      <w:r w:rsidRPr="00FA3570">
        <w:rPr>
          <w:rFonts w:hint="eastAsia"/>
        </w:rPr>
        <w:t>。本案為瞭解在大學招生、授予</w:t>
      </w:r>
      <w:r w:rsidRPr="00FA3570">
        <w:rPr>
          <w:rFonts w:hint="eastAsia"/>
        </w:rPr>
        <w:lastRenderedPageBreak/>
        <w:t>學位之相關法規鬆綁後，我國「替代性論文」(即「作品連同書面報告」、「成就證明連同書面報告」、「技術報告」、「專業實務報告」等</w:t>
      </w:r>
      <w:r w:rsidRPr="00FA3570">
        <w:t>4</w:t>
      </w:r>
      <w:r w:rsidRPr="00FA3570">
        <w:rPr>
          <w:rFonts w:hint="eastAsia"/>
        </w:rPr>
        <w:t>項)之實際變化情形，</w:t>
      </w:r>
      <w:proofErr w:type="gramStart"/>
      <w:r w:rsidRPr="00FA3570">
        <w:rPr>
          <w:rFonts w:hint="eastAsia"/>
        </w:rPr>
        <w:t>爰</w:t>
      </w:r>
      <w:proofErr w:type="gramEnd"/>
      <w:r w:rsidRPr="00FA3570">
        <w:rPr>
          <w:rFonts w:hint="eastAsia"/>
        </w:rPr>
        <w:t>請國家圖書館提供相關統計數據。據國家圖書館查復，其典藏</w:t>
      </w:r>
      <w:r w:rsidRPr="00FA3570">
        <w:t>104</w:t>
      </w:r>
      <w:r w:rsidRPr="00FA3570">
        <w:rPr>
          <w:rFonts w:hint="eastAsia"/>
        </w:rPr>
        <w:t>至</w:t>
      </w:r>
      <w:r w:rsidRPr="00FA3570">
        <w:t>110</w:t>
      </w:r>
      <w:r w:rsidRPr="00FA3570">
        <w:rPr>
          <w:rFonts w:hint="eastAsia"/>
        </w:rPr>
        <w:t>學年度有關「學位授予法」所指之替代性論文總計</w:t>
      </w:r>
      <w:r w:rsidRPr="00FA3570">
        <w:t>3,104</w:t>
      </w:r>
      <w:r w:rsidRPr="00FA3570">
        <w:rPr>
          <w:rFonts w:hint="eastAsia"/>
        </w:rPr>
        <w:t>筆，其中</w:t>
      </w:r>
      <w:r w:rsidRPr="00FA3570">
        <w:t>104-105</w:t>
      </w:r>
      <w:r w:rsidRPr="00FA3570">
        <w:rPr>
          <w:rFonts w:hint="eastAsia"/>
        </w:rPr>
        <w:t>學年度各有約</w:t>
      </w:r>
      <w:r w:rsidRPr="00FA3570">
        <w:t>100</w:t>
      </w:r>
      <w:r w:rsidRPr="00FA3570">
        <w:rPr>
          <w:rFonts w:hint="eastAsia"/>
        </w:rPr>
        <w:t>餘筆、</w:t>
      </w:r>
      <w:r w:rsidRPr="00FA3570">
        <w:t>106-107</w:t>
      </w:r>
      <w:r w:rsidRPr="00FA3570">
        <w:rPr>
          <w:rFonts w:hint="eastAsia"/>
        </w:rPr>
        <w:t>學年度各超過</w:t>
      </w:r>
      <w:r w:rsidRPr="00FA3570">
        <w:t>300</w:t>
      </w:r>
      <w:r w:rsidRPr="00FA3570">
        <w:rPr>
          <w:rFonts w:hint="eastAsia"/>
        </w:rPr>
        <w:t>筆、</w:t>
      </w:r>
      <w:r w:rsidRPr="00FA3570">
        <w:t>108-109</w:t>
      </w:r>
      <w:r w:rsidRPr="00FA3570">
        <w:rPr>
          <w:rFonts w:hint="eastAsia"/>
        </w:rPr>
        <w:t>學年度各</w:t>
      </w:r>
      <w:r w:rsidRPr="00FA3570">
        <w:t>600</w:t>
      </w:r>
      <w:r w:rsidRPr="00FA3570">
        <w:rPr>
          <w:rFonts w:hint="eastAsia"/>
        </w:rPr>
        <w:t>餘筆、</w:t>
      </w:r>
      <w:r w:rsidRPr="00FA3570">
        <w:t>110</w:t>
      </w:r>
      <w:r w:rsidRPr="00FA3570">
        <w:rPr>
          <w:rFonts w:hint="eastAsia"/>
        </w:rPr>
        <w:t>學年度高達</w:t>
      </w:r>
      <w:r w:rsidRPr="00FA3570">
        <w:t>700</w:t>
      </w:r>
      <w:r w:rsidRPr="00FA3570">
        <w:rPr>
          <w:rFonts w:hint="eastAsia"/>
        </w:rPr>
        <w:t>餘筆；又，國家圖書館依「入學大學同等學力認定標準」、「學位授予法」及「各類學位名稱訂定程序授予要件及代替碩士博士論文認定準則」等有關替代性論文相關法規增修頒布的時間分析指出：「各學年度代替論文階段性的顯示逐年增加趨勢，第</w:t>
      </w:r>
      <w:r w:rsidRPr="00FA3570">
        <w:t>1</w:t>
      </w:r>
      <w:r w:rsidRPr="00FA3570">
        <w:rPr>
          <w:rFonts w:hint="eastAsia"/>
        </w:rPr>
        <w:t>階段顯著成長為</w:t>
      </w:r>
      <w:r w:rsidRPr="00FA3570">
        <w:t>106</w:t>
      </w:r>
      <w:r w:rsidRPr="00FA3570">
        <w:rPr>
          <w:rFonts w:hint="eastAsia"/>
        </w:rPr>
        <w:t>學年度，較前一學年度增加</w:t>
      </w:r>
      <w:r w:rsidRPr="00FA3570">
        <w:t>83.61%</w:t>
      </w:r>
      <w:r w:rsidRPr="00FA3570">
        <w:rPr>
          <w:rFonts w:hint="eastAsia"/>
        </w:rPr>
        <w:t>，第</w:t>
      </w:r>
      <w:r w:rsidRPr="00FA3570">
        <w:t>2</w:t>
      </w:r>
      <w:r w:rsidRPr="00FA3570">
        <w:rPr>
          <w:rFonts w:hint="eastAsia"/>
        </w:rPr>
        <w:t>階段是</w:t>
      </w:r>
      <w:r w:rsidRPr="00FA3570">
        <w:t>107</w:t>
      </w:r>
      <w:r w:rsidRPr="00FA3570">
        <w:rPr>
          <w:rFonts w:hint="eastAsia"/>
        </w:rPr>
        <w:t>年『學位授予法』修正案通過後，</w:t>
      </w:r>
      <w:r w:rsidRPr="00FA3570">
        <w:t>108</w:t>
      </w:r>
      <w:r w:rsidRPr="00FA3570">
        <w:rPr>
          <w:rFonts w:hint="eastAsia"/>
        </w:rPr>
        <w:t>學年度代替論文較前一學年度增加</w:t>
      </w:r>
      <w:r w:rsidRPr="00FA3570">
        <w:t>91.83%</w:t>
      </w:r>
      <w:r w:rsidRPr="00FA3570">
        <w:rPr>
          <w:rFonts w:hint="eastAsia"/>
        </w:rPr>
        <w:t>，其次是</w:t>
      </w:r>
      <w:r w:rsidRPr="00FA3570">
        <w:t>110</w:t>
      </w:r>
      <w:r w:rsidRPr="00FA3570">
        <w:rPr>
          <w:rFonts w:hint="eastAsia"/>
        </w:rPr>
        <w:t>學年度較</w:t>
      </w:r>
      <w:r w:rsidRPr="00FA3570">
        <w:t>109</w:t>
      </w:r>
      <w:r w:rsidRPr="00FA3570">
        <w:rPr>
          <w:rFonts w:hint="eastAsia"/>
        </w:rPr>
        <w:t>學年度成長</w:t>
      </w:r>
      <w:r w:rsidRPr="00FA3570">
        <w:t>20.26%</w:t>
      </w:r>
      <w:r w:rsidRPr="00FA3570">
        <w:rPr>
          <w:rFonts w:hint="eastAsia"/>
        </w:rPr>
        <w:t>，代替論文數量實有明顯增加。」等語。</w:t>
      </w:r>
      <w:bookmarkEnd w:id="87"/>
    </w:p>
    <w:p w:rsidR="004C2D7C" w:rsidRPr="00FA3570" w:rsidRDefault="004C2D7C" w:rsidP="004C2D7C">
      <w:pPr>
        <w:pStyle w:val="3"/>
        <w:numPr>
          <w:ilvl w:val="2"/>
          <w:numId w:val="1"/>
        </w:numPr>
      </w:pPr>
      <w:bookmarkStart w:id="88" w:name="_Toc135055478"/>
      <w:r w:rsidRPr="00FA3570">
        <w:rPr>
          <w:rFonts w:hint="eastAsia"/>
          <w:b/>
        </w:rPr>
        <w:t>關於「吳寶春條款碩士學生以替代性論文通過學位考試之情形」一節</w:t>
      </w:r>
      <w:r w:rsidRPr="00FA3570">
        <w:rPr>
          <w:rFonts w:hint="eastAsia"/>
        </w:rPr>
        <w:t>：</w:t>
      </w:r>
      <w:bookmarkEnd w:id="88"/>
    </w:p>
    <w:p w:rsidR="004C2D7C" w:rsidRPr="00FA3570" w:rsidRDefault="004C2D7C" w:rsidP="004C2D7C">
      <w:pPr>
        <w:pStyle w:val="4"/>
        <w:numPr>
          <w:ilvl w:val="3"/>
          <w:numId w:val="1"/>
        </w:numPr>
      </w:pPr>
      <w:r w:rsidRPr="00FA3570">
        <w:rPr>
          <w:rFonts w:hint="eastAsia"/>
        </w:rPr>
        <w:t>承上，我國以替代性論文取得碩士學位之學生，106學年度以後呈現明顯成長態勢；然而，既然</w:t>
      </w:r>
      <w:r w:rsidRPr="00FA3570">
        <w:rPr>
          <w:rFonts w:hAnsi="標楷體" w:hint="eastAsia"/>
          <w:spacing w:val="-6"/>
          <w:szCs w:val="32"/>
        </w:rPr>
        <w:t>吳寶春條款以招收「專業領域具卓越成就表現者」為要件，</w:t>
      </w:r>
      <w:r w:rsidRPr="00FA3570">
        <w:rPr>
          <w:rFonts w:hint="eastAsia"/>
          <w:bCs/>
        </w:rPr>
        <w:t>學校亦以報考學生在相關領域之經歷為評量標準，則</w:t>
      </w:r>
      <w:r w:rsidRPr="00FA3570">
        <w:rPr>
          <w:rFonts w:hint="eastAsia"/>
        </w:rPr>
        <w:t>本案更關注，吳寶春條款碩士學生以替代性論文通過學位考試之情形為何？</w:t>
      </w:r>
    </w:p>
    <w:p w:rsidR="004C2D7C" w:rsidRPr="00FA3570" w:rsidRDefault="004C2D7C" w:rsidP="004C2D7C">
      <w:pPr>
        <w:pStyle w:val="4"/>
        <w:numPr>
          <w:ilvl w:val="3"/>
          <w:numId w:val="1"/>
        </w:numPr>
      </w:pPr>
      <w:r w:rsidRPr="00FA3570">
        <w:rPr>
          <w:rFonts w:hint="eastAsia"/>
        </w:rPr>
        <w:t>對此，教育部統計107至111學年度以吳寶春條款入學碩士班並取得碩士學位者計2</w:t>
      </w:r>
      <w:r w:rsidRPr="00FA3570">
        <w:t>,0</w:t>
      </w:r>
      <w:r w:rsidRPr="00FA3570">
        <w:rPr>
          <w:rFonts w:hint="eastAsia"/>
        </w:rPr>
        <w:t>20人，</w:t>
      </w:r>
      <w:proofErr w:type="gramStart"/>
      <w:r w:rsidRPr="00FA3570">
        <w:rPr>
          <w:rFonts w:hint="eastAsia"/>
        </w:rPr>
        <w:t>含大學校</w:t>
      </w:r>
      <w:proofErr w:type="gramEnd"/>
      <w:r w:rsidRPr="00FA3570">
        <w:rPr>
          <w:rFonts w:hint="eastAsia"/>
        </w:rPr>
        <w:t>院1</w:t>
      </w:r>
      <w:r w:rsidRPr="00FA3570">
        <w:t>,</w:t>
      </w:r>
      <w:r w:rsidRPr="00FA3570">
        <w:rPr>
          <w:rFonts w:hint="eastAsia"/>
        </w:rPr>
        <w:t>205人及科技大學815人，渠等分別以「論文」、「作品或成就證明連同書面報告」、「技</w:t>
      </w:r>
      <w:r w:rsidRPr="00FA3570">
        <w:rPr>
          <w:rFonts w:hint="eastAsia"/>
        </w:rPr>
        <w:lastRenderedPageBreak/>
        <w:t>術報告」、「專業實務報告」通過學位考試之人數與占比如下表；</w:t>
      </w:r>
      <w:r w:rsidRPr="00FA3570">
        <w:rPr>
          <w:rFonts w:hint="eastAsia"/>
          <w:u w:val="single"/>
        </w:rPr>
        <w:t>值得注意的現象是，技專校院替代性論文占比僅1.96%，甚至比一般大學16.76%還低，公立技專校院262名吳寶春條款學生，竟全數撰寫學術論文、替代性論文比率為零。</w:t>
      </w:r>
    </w:p>
    <w:p w:rsidR="004C2D7C" w:rsidRPr="00FA3570" w:rsidRDefault="004C2D7C" w:rsidP="004C2D7C">
      <w:pPr>
        <w:pStyle w:val="4"/>
        <w:numPr>
          <w:ilvl w:val="0"/>
          <w:numId w:val="0"/>
        </w:numPr>
        <w:ind w:left="1701"/>
      </w:pPr>
    </w:p>
    <w:p w:rsidR="004C2D7C" w:rsidRPr="00FA3570" w:rsidRDefault="004C2D7C" w:rsidP="004C2D7C">
      <w:pPr>
        <w:pStyle w:val="a3"/>
        <w:jc w:val="center"/>
        <w:rPr>
          <w:b/>
        </w:rPr>
      </w:pPr>
      <w:bookmarkStart w:id="89" w:name="_Hlk135409073"/>
      <w:bookmarkStart w:id="90" w:name="_Hlk135409316"/>
      <w:r w:rsidRPr="00FA3570">
        <w:rPr>
          <w:rFonts w:hint="eastAsia"/>
          <w:b/>
        </w:rPr>
        <w:t>107至111學年度</w:t>
      </w:r>
      <w:bookmarkEnd w:id="89"/>
      <w:r w:rsidRPr="00FA3570">
        <w:rPr>
          <w:rFonts w:hint="eastAsia"/>
          <w:b/>
        </w:rPr>
        <w:t>吳寶春條款碩士學生之學術論文/替代性論文概況</w:t>
      </w:r>
    </w:p>
    <w:tbl>
      <w:tblPr>
        <w:tblW w:w="5373" w:type="pct"/>
        <w:tblCellMar>
          <w:left w:w="28" w:type="dxa"/>
          <w:right w:w="28" w:type="dxa"/>
        </w:tblCellMar>
        <w:tblLook w:val="04A0" w:firstRow="1" w:lastRow="0" w:firstColumn="1" w:lastColumn="0" w:noHBand="0" w:noVBand="1"/>
      </w:tblPr>
      <w:tblGrid>
        <w:gridCol w:w="2758"/>
        <w:gridCol w:w="869"/>
        <w:gridCol w:w="870"/>
        <w:gridCol w:w="1107"/>
        <w:gridCol w:w="758"/>
        <w:gridCol w:w="758"/>
        <w:gridCol w:w="759"/>
        <w:gridCol w:w="1614"/>
      </w:tblGrid>
      <w:tr w:rsidR="00FA3570" w:rsidRPr="00FA3570" w:rsidTr="00D53CC4">
        <w:trPr>
          <w:trHeight w:val="340"/>
          <w:tblHeader/>
        </w:trPr>
        <w:tc>
          <w:tcPr>
            <w:tcW w:w="1453" w:type="pct"/>
            <w:vMerge w:val="restart"/>
            <w:tcBorders>
              <w:top w:val="single" w:sz="4" w:space="0" w:color="auto"/>
              <w:left w:val="single" w:sz="4" w:space="0" w:color="auto"/>
              <w:bottom w:val="single" w:sz="4" w:space="0" w:color="auto"/>
              <w:right w:val="single" w:sz="4" w:space="0" w:color="auto"/>
            </w:tcBorders>
            <w:shd w:val="clear" w:color="FFD966" w:fill="FFD966"/>
            <w:vAlign w:val="center"/>
            <w:hideMark/>
          </w:tcPr>
          <w:p w:rsidR="004C2D7C" w:rsidRPr="00FA3570" w:rsidRDefault="004C2D7C" w:rsidP="00D53CC4">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學校類別</w:t>
            </w:r>
          </w:p>
        </w:tc>
        <w:tc>
          <w:tcPr>
            <w:tcW w:w="458" w:type="pct"/>
            <w:vMerge w:val="restart"/>
            <w:tcBorders>
              <w:top w:val="single" w:sz="4" w:space="0" w:color="auto"/>
              <w:left w:val="single" w:sz="4" w:space="0" w:color="auto"/>
              <w:bottom w:val="single" w:sz="4" w:space="0" w:color="auto"/>
              <w:right w:val="double" w:sz="4" w:space="0" w:color="auto"/>
            </w:tcBorders>
            <w:shd w:val="clear" w:color="FFD966" w:fill="FFD966"/>
            <w:vAlign w:val="center"/>
            <w:hideMark/>
          </w:tcPr>
          <w:p w:rsidR="004C2D7C" w:rsidRPr="00FA3570" w:rsidRDefault="004C2D7C" w:rsidP="00D53CC4">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畢業人數(B)</w:t>
            </w:r>
          </w:p>
        </w:tc>
        <w:tc>
          <w:tcPr>
            <w:tcW w:w="458" w:type="pct"/>
            <w:vMerge w:val="restart"/>
            <w:tcBorders>
              <w:top w:val="single" w:sz="4" w:space="0" w:color="auto"/>
              <w:left w:val="double" w:sz="4" w:space="0" w:color="auto"/>
              <w:bottom w:val="single" w:sz="4" w:space="0" w:color="auto"/>
              <w:right w:val="single" w:sz="4" w:space="0" w:color="auto"/>
            </w:tcBorders>
            <w:shd w:val="clear" w:color="FFD966" w:fill="FFD966"/>
            <w:vAlign w:val="center"/>
            <w:hideMark/>
          </w:tcPr>
          <w:p w:rsidR="004C2D7C" w:rsidRPr="00FA3570" w:rsidRDefault="004C2D7C" w:rsidP="00D53CC4">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(學術)論文(b1)</w:t>
            </w:r>
          </w:p>
        </w:tc>
        <w:tc>
          <w:tcPr>
            <w:tcW w:w="583" w:type="pct"/>
            <w:vMerge w:val="restart"/>
            <w:tcBorders>
              <w:top w:val="single" w:sz="4" w:space="0" w:color="auto"/>
              <w:left w:val="single" w:sz="4" w:space="0" w:color="auto"/>
              <w:bottom w:val="single" w:sz="4" w:space="0" w:color="auto"/>
              <w:right w:val="double" w:sz="4" w:space="0" w:color="auto"/>
            </w:tcBorders>
            <w:shd w:val="clear" w:color="FFD966" w:fill="FFD966"/>
            <w:vAlign w:val="center"/>
            <w:hideMark/>
          </w:tcPr>
          <w:p w:rsidR="004C2D7C" w:rsidRPr="00FA3570" w:rsidRDefault="004C2D7C" w:rsidP="00D53CC4">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學術論文占比(b1/B)</w:t>
            </w:r>
          </w:p>
        </w:tc>
        <w:tc>
          <w:tcPr>
            <w:tcW w:w="1198" w:type="pct"/>
            <w:gridSpan w:val="3"/>
            <w:tcBorders>
              <w:top w:val="single" w:sz="4" w:space="0" w:color="auto"/>
              <w:left w:val="double" w:sz="4" w:space="0" w:color="auto"/>
              <w:bottom w:val="single" w:sz="4" w:space="0" w:color="auto"/>
              <w:right w:val="single" w:sz="4" w:space="0" w:color="auto"/>
            </w:tcBorders>
            <w:shd w:val="clear" w:color="000000" w:fill="FFD966"/>
            <w:vAlign w:val="center"/>
            <w:hideMark/>
          </w:tcPr>
          <w:p w:rsidR="004C2D7C" w:rsidRPr="00FA3570" w:rsidRDefault="004C2D7C" w:rsidP="00D53CC4">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替代性論文(b2)</w:t>
            </w:r>
          </w:p>
        </w:tc>
        <w:tc>
          <w:tcPr>
            <w:tcW w:w="851" w:type="pct"/>
            <w:vMerge w:val="restart"/>
            <w:tcBorders>
              <w:top w:val="single" w:sz="4" w:space="0" w:color="auto"/>
              <w:left w:val="single" w:sz="4" w:space="0" w:color="auto"/>
              <w:bottom w:val="single" w:sz="4" w:space="0" w:color="auto"/>
              <w:right w:val="single" w:sz="4" w:space="0" w:color="auto"/>
            </w:tcBorders>
            <w:shd w:val="clear" w:color="FFD966" w:fill="FFD966"/>
            <w:vAlign w:val="center"/>
            <w:hideMark/>
          </w:tcPr>
          <w:p w:rsidR="004C2D7C" w:rsidRPr="00FA3570" w:rsidRDefault="004C2D7C" w:rsidP="00D53CC4">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替代性論文占比(b2/B)</w:t>
            </w:r>
          </w:p>
        </w:tc>
      </w:tr>
      <w:tr w:rsidR="00FA3570" w:rsidRPr="00FA3570" w:rsidTr="00D53CC4">
        <w:trPr>
          <w:trHeight w:val="620"/>
          <w:tblHeader/>
        </w:trPr>
        <w:tc>
          <w:tcPr>
            <w:tcW w:w="1453" w:type="pct"/>
            <w:vMerge/>
            <w:tcBorders>
              <w:top w:val="single" w:sz="4" w:space="0" w:color="auto"/>
              <w:left w:val="single" w:sz="4" w:space="0" w:color="auto"/>
              <w:bottom w:val="single" w:sz="4" w:space="0" w:color="auto"/>
              <w:right w:val="single" w:sz="4" w:space="0" w:color="auto"/>
            </w:tcBorders>
            <w:vAlign w:val="center"/>
            <w:hideMark/>
          </w:tcPr>
          <w:p w:rsidR="004C2D7C" w:rsidRPr="00FA3570" w:rsidRDefault="004C2D7C" w:rsidP="00D53CC4">
            <w:pPr>
              <w:widowControl/>
              <w:snapToGrid w:val="0"/>
              <w:spacing w:line="360" w:lineRule="exact"/>
              <w:rPr>
                <w:rFonts w:hAnsi="標楷體" w:cs="新細明體"/>
                <w:kern w:val="0"/>
                <w:sz w:val="28"/>
                <w:szCs w:val="28"/>
              </w:rPr>
            </w:pPr>
          </w:p>
        </w:tc>
        <w:tc>
          <w:tcPr>
            <w:tcW w:w="458" w:type="pct"/>
            <w:vMerge/>
            <w:tcBorders>
              <w:top w:val="single" w:sz="4" w:space="0" w:color="auto"/>
              <w:left w:val="single" w:sz="4" w:space="0" w:color="auto"/>
              <w:bottom w:val="single" w:sz="4" w:space="0" w:color="auto"/>
              <w:right w:val="double" w:sz="4" w:space="0" w:color="auto"/>
            </w:tcBorders>
            <w:vAlign w:val="center"/>
            <w:hideMark/>
          </w:tcPr>
          <w:p w:rsidR="004C2D7C" w:rsidRPr="00FA3570" w:rsidRDefault="004C2D7C" w:rsidP="00D53CC4">
            <w:pPr>
              <w:widowControl/>
              <w:snapToGrid w:val="0"/>
              <w:spacing w:line="360" w:lineRule="exact"/>
              <w:rPr>
                <w:rFonts w:hAnsi="標楷體" w:cs="新細明體"/>
                <w:kern w:val="0"/>
                <w:sz w:val="28"/>
                <w:szCs w:val="28"/>
              </w:rPr>
            </w:pPr>
          </w:p>
        </w:tc>
        <w:tc>
          <w:tcPr>
            <w:tcW w:w="458" w:type="pct"/>
            <w:vMerge/>
            <w:tcBorders>
              <w:top w:val="single" w:sz="4" w:space="0" w:color="auto"/>
              <w:left w:val="double" w:sz="4" w:space="0" w:color="auto"/>
              <w:bottom w:val="single" w:sz="4" w:space="0" w:color="auto"/>
              <w:right w:val="single" w:sz="4" w:space="0" w:color="auto"/>
            </w:tcBorders>
            <w:vAlign w:val="center"/>
            <w:hideMark/>
          </w:tcPr>
          <w:p w:rsidR="004C2D7C" w:rsidRPr="00FA3570" w:rsidRDefault="004C2D7C" w:rsidP="00D53CC4">
            <w:pPr>
              <w:widowControl/>
              <w:snapToGrid w:val="0"/>
              <w:spacing w:line="360" w:lineRule="exact"/>
              <w:rPr>
                <w:rFonts w:hAnsi="標楷體" w:cs="新細明體"/>
                <w:kern w:val="0"/>
                <w:sz w:val="28"/>
                <w:szCs w:val="28"/>
              </w:rPr>
            </w:pPr>
          </w:p>
        </w:tc>
        <w:tc>
          <w:tcPr>
            <w:tcW w:w="583" w:type="pct"/>
            <w:vMerge/>
            <w:tcBorders>
              <w:top w:val="single" w:sz="4" w:space="0" w:color="auto"/>
              <w:left w:val="single" w:sz="4" w:space="0" w:color="auto"/>
              <w:bottom w:val="single" w:sz="4" w:space="0" w:color="auto"/>
              <w:right w:val="double" w:sz="4" w:space="0" w:color="auto"/>
            </w:tcBorders>
            <w:vAlign w:val="center"/>
            <w:hideMark/>
          </w:tcPr>
          <w:p w:rsidR="004C2D7C" w:rsidRPr="00FA3570" w:rsidRDefault="004C2D7C" w:rsidP="00D53CC4">
            <w:pPr>
              <w:widowControl/>
              <w:snapToGrid w:val="0"/>
              <w:spacing w:line="360" w:lineRule="exact"/>
              <w:rPr>
                <w:rFonts w:hAnsi="標楷體" w:cs="新細明體"/>
                <w:kern w:val="0"/>
                <w:sz w:val="28"/>
                <w:szCs w:val="28"/>
              </w:rPr>
            </w:pPr>
          </w:p>
        </w:tc>
        <w:tc>
          <w:tcPr>
            <w:tcW w:w="399" w:type="pct"/>
            <w:tcBorders>
              <w:top w:val="nil"/>
              <w:left w:val="double" w:sz="4" w:space="0" w:color="auto"/>
              <w:bottom w:val="single" w:sz="4" w:space="0" w:color="auto"/>
              <w:right w:val="single" w:sz="4" w:space="0" w:color="auto"/>
            </w:tcBorders>
            <w:shd w:val="clear" w:color="FFD966" w:fill="FFD966"/>
            <w:vAlign w:val="center"/>
            <w:hideMark/>
          </w:tcPr>
          <w:p w:rsidR="004C2D7C" w:rsidRPr="00FA3570" w:rsidRDefault="004C2D7C" w:rsidP="00D53CC4">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書面報告</w:t>
            </w:r>
          </w:p>
        </w:tc>
        <w:tc>
          <w:tcPr>
            <w:tcW w:w="399" w:type="pct"/>
            <w:tcBorders>
              <w:top w:val="nil"/>
              <w:left w:val="nil"/>
              <w:bottom w:val="single" w:sz="4" w:space="0" w:color="auto"/>
              <w:right w:val="single" w:sz="4" w:space="0" w:color="auto"/>
            </w:tcBorders>
            <w:shd w:val="clear" w:color="FFD966" w:fill="FFD966"/>
            <w:vAlign w:val="center"/>
            <w:hideMark/>
          </w:tcPr>
          <w:p w:rsidR="004C2D7C" w:rsidRPr="00FA3570" w:rsidRDefault="004C2D7C" w:rsidP="00D53CC4">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技術報告</w:t>
            </w:r>
          </w:p>
        </w:tc>
        <w:tc>
          <w:tcPr>
            <w:tcW w:w="399" w:type="pct"/>
            <w:tcBorders>
              <w:top w:val="nil"/>
              <w:left w:val="nil"/>
              <w:bottom w:val="single" w:sz="4" w:space="0" w:color="auto"/>
              <w:right w:val="single" w:sz="4" w:space="0" w:color="auto"/>
            </w:tcBorders>
            <w:shd w:val="clear" w:color="FFD966" w:fill="FFD966"/>
            <w:vAlign w:val="center"/>
            <w:hideMark/>
          </w:tcPr>
          <w:p w:rsidR="004C2D7C" w:rsidRPr="00FA3570" w:rsidRDefault="004C2D7C" w:rsidP="00D53CC4">
            <w:pPr>
              <w:widowControl/>
              <w:snapToGrid w:val="0"/>
              <w:spacing w:line="360" w:lineRule="exact"/>
              <w:jc w:val="center"/>
              <w:rPr>
                <w:rFonts w:hAnsi="標楷體" w:cs="新細明體"/>
                <w:b/>
                <w:kern w:val="0"/>
                <w:sz w:val="28"/>
                <w:szCs w:val="28"/>
              </w:rPr>
            </w:pPr>
            <w:r w:rsidRPr="00FA3570">
              <w:rPr>
                <w:rFonts w:hAnsi="標楷體" w:cs="新細明體" w:hint="eastAsia"/>
                <w:b/>
                <w:kern w:val="0"/>
                <w:sz w:val="28"/>
                <w:szCs w:val="28"/>
              </w:rPr>
              <w:t>專業實務報告</w:t>
            </w:r>
          </w:p>
        </w:tc>
        <w:tc>
          <w:tcPr>
            <w:tcW w:w="851" w:type="pct"/>
            <w:vMerge/>
            <w:tcBorders>
              <w:top w:val="single" w:sz="4" w:space="0" w:color="auto"/>
              <w:left w:val="single" w:sz="4" w:space="0" w:color="auto"/>
              <w:bottom w:val="single" w:sz="4" w:space="0" w:color="auto"/>
              <w:right w:val="single" w:sz="4" w:space="0" w:color="auto"/>
            </w:tcBorders>
            <w:vAlign w:val="center"/>
            <w:hideMark/>
          </w:tcPr>
          <w:p w:rsidR="004C2D7C" w:rsidRPr="00FA3570" w:rsidRDefault="004C2D7C" w:rsidP="00D53CC4">
            <w:pPr>
              <w:widowControl/>
              <w:snapToGrid w:val="0"/>
              <w:spacing w:line="360" w:lineRule="exact"/>
              <w:rPr>
                <w:rFonts w:hAnsi="標楷體" w:cs="新細明體"/>
                <w:kern w:val="0"/>
                <w:sz w:val="28"/>
                <w:szCs w:val="28"/>
              </w:rPr>
            </w:pPr>
          </w:p>
        </w:tc>
      </w:tr>
      <w:tr w:rsidR="00FA3570" w:rsidRPr="00FA3570" w:rsidTr="00D53CC4">
        <w:trPr>
          <w:trHeight w:val="340"/>
        </w:trPr>
        <w:tc>
          <w:tcPr>
            <w:tcW w:w="1453" w:type="pct"/>
            <w:tcBorders>
              <w:top w:val="nil"/>
              <w:left w:val="sing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公立大學</w:t>
            </w:r>
          </w:p>
        </w:tc>
        <w:tc>
          <w:tcPr>
            <w:tcW w:w="458" w:type="pct"/>
            <w:tcBorders>
              <w:top w:val="nil"/>
              <w:left w:val="nil"/>
              <w:bottom w:val="single" w:sz="4" w:space="0" w:color="auto"/>
              <w:right w:val="doub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425</w:t>
            </w:r>
          </w:p>
        </w:tc>
        <w:tc>
          <w:tcPr>
            <w:tcW w:w="458" w:type="pct"/>
            <w:tcBorders>
              <w:top w:val="nil"/>
              <w:left w:val="doub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409</w:t>
            </w:r>
          </w:p>
        </w:tc>
        <w:tc>
          <w:tcPr>
            <w:tcW w:w="583" w:type="pct"/>
            <w:tcBorders>
              <w:top w:val="nil"/>
              <w:left w:val="nil"/>
              <w:bottom w:val="single" w:sz="4" w:space="0" w:color="auto"/>
              <w:right w:val="doub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96.24%</w:t>
            </w:r>
          </w:p>
        </w:tc>
        <w:tc>
          <w:tcPr>
            <w:tcW w:w="399" w:type="pct"/>
            <w:tcBorders>
              <w:top w:val="nil"/>
              <w:left w:val="doub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3</w:t>
            </w:r>
          </w:p>
        </w:tc>
        <w:tc>
          <w:tcPr>
            <w:tcW w:w="399"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3</w:t>
            </w:r>
          </w:p>
        </w:tc>
        <w:tc>
          <w:tcPr>
            <w:tcW w:w="399"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10</w:t>
            </w:r>
          </w:p>
        </w:tc>
        <w:tc>
          <w:tcPr>
            <w:tcW w:w="851"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3.76%</w:t>
            </w:r>
          </w:p>
        </w:tc>
      </w:tr>
      <w:tr w:rsidR="00FA3570" w:rsidRPr="00FA3570" w:rsidTr="00D53CC4">
        <w:trPr>
          <w:trHeight w:val="340"/>
        </w:trPr>
        <w:tc>
          <w:tcPr>
            <w:tcW w:w="1453" w:type="pct"/>
            <w:tcBorders>
              <w:top w:val="nil"/>
              <w:left w:val="sing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私立大學</w:t>
            </w:r>
          </w:p>
        </w:tc>
        <w:tc>
          <w:tcPr>
            <w:tcW w:w="458" w:type="pct"/>
            <w:tcBorders>
              <w:top w:val="nil"/>
              <w:left w:val="nil"/>
              <w:bottom w:val="single" w:sz="4" w:space="0" w:color="auto"/>
              <w:right w:val="doub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780</w:t>
            </w:r>
          </w:p>
        </w:tc>
        <w:tc>
          <w:tcPr>
            <w:tcW w:w="458" w:type="pct"/>
            <w:tcBorders>
              <w:top w:val="nil"/>
              <w:left w:val="doub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594</w:t>
            </w:r>
          </w:p>
        </w:tc>
        <w:tc>
          <w:tcPr>
            <w:tcW w:w="583" w:type="pct"/>
            <w:tcBorders>
              <w:top w:val="nil"/>
              <w:left w:val="nil"/>
              <w:bottom w:val="single" w:sz="4" w:space="0" w:color="auto"/>
              <w:right w:val="doub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76.15%</w:t>
            </w:r>
          </w:p>
        </w:tc>
        <w:tc>
          <w:tcPr>
            <w:tcW w:w="399" w:type="pct"/>
            <w:tcBorders>
              <w:top w:val="nil"/>
              <w:left w:val="doub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w:t>
            </w:r>
          </w:p>
        </w:tc>
        <w:tc>
          <w:tcPr>
            <w:tcW w:w="399"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25</w:t>
            </w:r>
          </w:p>
        </w:tc>
        <w:tc>
          <w:tcPr>
            <w:tcW w:w="399"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160</w:t>
            </w:r>
          </w:p>
        </w:tc>
        <w:tc>
          <w:tcPr>
            <w:tcW w:w="851"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23.85%</w:t>
            </w:r>
          </w:p>
        </w:tc>
      </w:tr>
      <w:tr w:rsidR="00FA3570" w:rsidRPr="00FA3570" w:rsidTr="00D53CC4">
        <w:trPr>
          <w:trHeight w:val="340"/>
        </w:trPr>
        <w:tc>
          <w:tcPr>
            <w:tcW w:w="1453" w:type="pct"/>
            <w:tcBorders>
              <w:top w:val="nil"/>
              <w:left w:val="single" w:sz="4" w:space="0" w:color="auto"/>
              <w:bottom w:val="doub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大學小計</w:t>
            </w:r>
          </w:p>
        </w:tc>
        <w:tc>
          <w:tcPr>
            <w:tcW w:w="458" w:type="pct"/>
            <w:tcBorders>
              <w:top w:val="nil"/>
              <w:left w:val="nil"/>
              <w:bottom w:val="double" w:sz="4" w:space="0" w:color="auto"/>
              <w:right w:val="doub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w:t>
            </w:r>
            <w:r w:rsidRPr="00FA3570">
              <w:rPr>
                <w:rFonts w:hAnsi="標楷體" w:cs="新細明體"/>
                <w:kern w:val="0"/>
                <w:sz w:val="28"/>
                <w:szCs w:val="28"/>
              </w:rPr>
              <w:t>,</w:t>
            </w:r>
            <w:r w:rsidRPr="00FA3570">
              <w:rPr>
                <w:rFonts w:hAnsi="標楷體" w:cs="新細明體" w:hint="eastAsia"/>
                <w:kern w:val="0"/>
                <w:sz w:val="28"/>
                <w:szCs w:val="28"/>
              </w:rPr>
              <w:t>205</w:t>
            </w:r>
          </w:p>
        </w:tc>
        <w:tc>
          <w:tcPr>
            <w:tcW w:w="458" w:type="pct"/>
            <w:tcBorders>
              <w:top w:val="nil"/>
              <w:left w:val="double" w:sz="4" w:space="0" w:color="auto"/>
              <w:bottom w:val="doub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w:t>
            </w:r>
            <w:r w:rsidRPr="00FA3570">
              <w:rPr>
                <w:rFonts w:hAnsi="標楷體" w:cs="新細明體"/>
                <w:kern w:val="0"/>
                <w:sz w:val="28"/>
                <w:szCs w:val="28"/>
              </w:rPr>
              <w:t>,</w:t>
            </w:r>
            <w:r w:rsidRPr="00FA3570">
              <w:rPr>
                <w:rFonts w:hAnsi="標楷體" w:cs="新細明體" w:hint="eastAsia"/>
                <w:kern w:val="0"/>
                <w:sz w:val="28"/>
                <w:szCs w:val="28"/>
              </w:rPr>
              <w:t>003</w:t>
            </w:r>
          </w:p>
        </w:tc>
        <w:tc>
          <w:tcPr>
            <w:tcW w:w="583" w:type="pct"/>
            <w:tcBorders>
              <w:top w:val="nil"/>
              <w:left w:val="nil"/>
              <w:bottom w:val="double" w:sz="4" w:space="0" w:color="auto"/>
              <w:right w:val="doub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83.24%</w:t>
            </w:r>
          </w:p>
        </w:tc>
        <w:tc>
          <w:tcPr>
            <w:tcW w:w="399" w:type="pct"/>
            <w:tcBorders>
              <w:top w:val="nil"/>
              <w:left w:val="double" w:sz="4" w:space="0" w:color="auto"/>
              <w:bottom w:val="doub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4</w:t>
            </w:r>
          </w:p>
        </w:tc>
        <w:tc>
          <w:tcPr>
            <w:tcW w:w="399" w:type="pct"/>
            <w:tcBorders>
              <w:top w:val="nil"/>
              <w:left w:val="nil"/>
              <w:bottom w:val="doub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28</w:t>
            </w:r>
          </w:p>
        </w:tc>
        <w:tc>
          <w:tcPr>
            <w:tcW w:w="399" w:type="pct"/>
            <w:tcBorders>
              <w:top w:val="nil"/>
              <w:left w:val="nil"/>
              <w:bottom w:val="doub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170</w:t>
            </w:r>
          </w:p>
        </w:tc>
        <w:tc>
          <w:tcPr>
            <w:tcW w:w="851" w:type="pct"/>
            <w:tcBorders>
              <w:top w:val="nil"/>
              <w:left w:val="nil"/>
              <w:bottom w:val="doub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b/>
                <w:kern w:val="0"/>
                <w:sz w:val="28"/>
                <w:szCs w:val="28"/>
              </w:rPr>
            </w:pPr>
            <w:r w:rsidRPr="00FA3570">
              <w:rPr>
                <w:rFonts w:hAnsi="標楷體" w:cs="新細明體" w:hint="eastAsia"/>
                <w:b/>
                <w:kern w:val="0"/>
                <w:sz w:val="28"/>
                <w:szCs w:val="28"/>
              </w:rPr>
              <w:t>16.76%</w:t>
            </w:r>
          </w:p>
        </w:tc>
      </w:tr>
      <w:tr w:rsidR="00FA3570" w:rsidRPr="00FA3570" w:rsidTr="00D53CC4">
        <w:trPr>
          <w:trHeight w:val="340"/>
        </w:trPr>
        <w:tc>
          <w:tcPr>
            <w:tcW w:w="1453"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公立技專校院</w:t>
            </w:r>
          </w:p>
        </w:tc>
        <w:tc>
          <w:tcPr>
            <w:tcW w:w="458" w:type="pct"/>
            <w:tcBorders>
              <w:top w:val="double" w:sz="4" w:space="0" w:color="auto"/>
              <w:left w:val="nil"/>
              <w:bottom w:val="single" w:sz="4" w:space="0" w:color="auto"/>
              <w:right w:val="doub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262</w:t>
            </w:r>
          </w:p>
        </w:tc>
        <w:tc>
          <w:tcPr>
            <w:tcW w:w="458"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262</w:t>
            </w:r>
          </w:p>
        </w:tc>
        <w:tc>
          <w:tcPr>
            <w:tcW w:w="583" w:type="pct"/>
            <w:tcBorders>
              <w:top w:val="double" w:sz="4" w:space="0" w:color="auto"/>
              <w:left w:val="nil"/>
              <w:bottom w:val="single" w:sz="4" w:space="0" w:color="auto"/>
              <w:right w:val="doub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100.00%</w:t>
            </w:r>
          </w:p>
        </w:tc>
        <w:tc>
          <w:tcPr>
            <w:tcW w:w="399"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0</w:t>
            </w:r>
          </w:p>
        </w:tc>
        <w:tc>
          <w:tcPr>
            <w:tcW w:w="399" w:type="pct"/>
            <w:tcBorders>
              <w:top w:val="double" w:sz="4" w:space="0" w:color="auto"/>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0</w:t>
            </w:r>
          </w:p>
        </w:tc>
        <w:tc>
          <w:tcPr>
            <w:tcW w:w="399" w:type="pct"/>
            <w:tcBorders>
              <w:top w:val="double" w:sz="4" w:space="0" w:color="auto"/>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0</w:t>
            </w:r>
          </w:p>
        </w:tc>
        <w:tc>
          <w:tcPr>
            <w:tcW w:w="851" w:type="pct"/>
            <w:tcBorders>
              <w:top w:val="double" w:sz="4" w:space="0" w:color="auto"/>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0.00%</w:t>
            </w:r>
          </w:p>
        </w:tc>
      </w:tr>
      <w:tr w:rsidR="00FA3570" w:rsidRPr="00FA3570" w:rsidTr="00D53CC4">
        <w:trPr>
          <w:trHeight w:val="340"/>
        </w:trPr>
        <w:tc>
          <w:tcPr>
            <w:tcW w:w="1453" w:type="pct"/>
            <w:tcBorders>
              <w:top w:val="nil"/>
              <w:left w:val="sing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私立技專校院</w:t>
            </w:r>
          </w:p>
        </w:tc>
        <w:tc>
          <w:tcPr>
            <w:tcW w:w="458" w:type="pct"/>
            <w:tcBorders>
              <w:top w:val="nil"/>
              <w:left w:val="nil"/>
              <w:bottom w:val="single" w:sz="4" w:space="0" w:color="auto"/>
              <w:right w:val="doub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553</w:t>
            </w:r>
          </w:p>
        </w:tc>
        <w:tc>
          <w:tcPr>
            <w:tcW w:w="458" w:type="pct"/>
            <w:tcBorders>
              <w:top w:val="nil"/>
              <w:left w:val="doub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537</w:t>
            </w:r>
          </w:p>
        </w:tc>
        <w:tc>
          <w:tcPr>
            <w:tcW w:w="583" w:type="pct"/>
            <w:tcBorders>
              <w:top w:val="nil"/>
              <w:left w:val="nil"/>
              <w:bottom w:val="single" w:sz="4" w:space="0" w:color="auto"/>
              <w:right w:val="doub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97.11%</w:t>
            </w:r>
          </w:p>
        </w:tc>
        <w:tc>
          <w:tcPr>
            <w:tcW w:w="399" w:type="pct"/>
            <w:tcBorders>
              <w:top w:val="nil"/>
              <w:left w:val="doub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4</w:t>
            </w:r>
          </w:p>
        </w:tc>
        <w:tc>
          <w:tcPr>
            <w:tcW w:w="399"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4</w:t>
            </w:r>
          </w:p>
        </w:tc>
        <w:tc>
          <w:tcPr>
            <w:tcW w:w="399"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8</w:t>
            </w:r>
          </w:p>
        </w:tc>
        <w:tc>
          <w:tcPr>
            <w:tcW w:w="851"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2.89%</w:t>
            </w:r>
          </w:p>
        </w:tc>
      </w:tr>
      <w:tr w:rsidR="00FA3570" w:rsidRPr="00FA3570" w:rsidTr="00D53CC4">
        <w:trPr>
          <w:trHeight w:val="340"/>
        </w:trPr>
        <w:tc>
          <w:tcPr>
            <w:tcW w:w="1453" w:type="pct"/>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技專校院小計</w:t>
            </w:r>
          </w:p>
        </w:tc>
        <w:tc>
          <w:tcPr>
            <w:tcW w:w="458" w:type="pct"/>
            <w:tcBorders>
              <w:top w:val="nil"/>
              <w:left w:val="nil"/>
              <w:bottom w:val="single" w:sz="4" w:space="0" w:color="auto"/>
              <w:right w:val="doub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815</w:t>
            </w:r>
          </w:p>
        </w:tc>
        <w:tc>
          <w:tcPr>
            <w:tcW w:w="458" w:type="pct"/>
            <w:tcBorders>
              <w:top w:val="nil"/>
              <w:left w:val="double" w:sz="4" w:space="0" w:color="auto"/>
              <w:bottom w:val="sing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799</w:t>
            </w:r>
          </w:p>
        </w:tc>
        <w:tc>
          <w:tcPr>
            <w:tcW w:w="583" w:type="pct"/>
            <w:tcBorders>
              <w:top w:val="nil"/>
              <w:left w:val="nil"/>
              <w:bottom w:val="single" w:sz="4" w:space="0" w:color="auto"/>
              <w:right w:val="doub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98.04%</w:t>
            </w:r>
          </w:p>
        </w:tc>
        <w:tc>
          <w:tcPr>
            <w:tcW w:w="399" w:type="pct"/>
            <w:tcBorders>
              <w:top w:val="nil"/>
              <w:left w:val="double" w:sz="4" w:space="0" w:color="auto"/>
              <w:bottom w:val="sing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4</w:t>
            </w:r>
          </w:p>
        </w:tc>
        <w:tc>
          <w:tcPr>
            <w:tcW w:w="399" w:type="pct"/>
            <w:tcBorders>
              <w:top w:val="nil"/>
              <w:left w:val="nil"/>
              <w:bottom w:val="sing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4</w:t>
            </w:r>
          </w:p>
        </w:tc>
        <w:tc>
          <w:tcPr>
            <w:tcW w:w="399" w:type="pct"/>
            <w:tcBorders>
              <w:top w:val="nil"/>
              <w:left w:val="nil"/>
              <w:bottom w:val="sing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kern w:val="0"/>
                <w:sz w:val="28"/>
                <w:szCs w:val="28"/>
              </w:rPr>
            </w:pPr>
            <w:r w:rsidRPr="00FA3570">
              <w:rPr>
                <w:rFonts w:hAnsi="標楷體" w:cs="新細明體" w:hint="eastAsia"/>
                <w:kern w:val="0"/>
                <w:sz w:val="28"/>
                <w:szCs w:val="28"/>
              </w:rPr>
              <w:t>8</w:t>
            </w:r>
          </w:p>
        </w:tc>
        <w:tc>
          <w:tcPr>
            <w:tcW w:w="851" w:type="pct"/>
            <w:tcBorders>
              <w:top w:val="nil"/>
              <w:left w:val="nil"/>
              <w:bottom w:val="single" w:sz="4" w:space="0" w:color="auto"/>
              <w:right w:val="single" w:sz="4" w:space="0" w:color="auto"/>
            </w:tcBorders>
            <w:shd w:val="clear" w:color="auto" w:fill="FDE9D9" w:themeFill="accent6" w:themeFillTint="33"/>
            <w:noWrap/>
            <w:vAlign w:val="center"/>
            <w:hideMark/>
          </w:tcPr>
          <w:p w:rsidR="004C2D7C" w:rsidRPr="00FA3570" w:rsidRDefault="004C2D7C" w:rsidP="00D53CC4">
            <w:pPr>
              <w:widowControl/>
              <w:spacing w:line="360" w:lineRule="exact"/>
              <w:jc w:val="center"/>
              <w:rPr>
                <w:rFonts w:hAnsi="標楷體" w:cs="新細明體"/>
                <w:b/>
                <w:kern w:val="0"/>
                <w:sz w:val="28"/>
                <w:szCs w:val="28"/>
              </w:rPr>
            </w:pPr>
            <w:r w:rsidRPr="00FA3570">
              <w:rPr>
                <w:rFonts w:hAnsi="標楷體" w:cs="新細明體" w:hint="eastAsia"/>
                <w:b/>
                <w:kern w:val="0"/>
                <w:sz w:val="28"/>
                <w:szCs w:val="28"/>
              </w:rPr>
              <w:t>1.96%</w:t>
            </w:r>
          </w:p>
        </w:tc>
      </w:tr>
      <w:tr w:rsidR="00FA3570" w:rsidRPr="00FA3570" w:rsidTr="00D53CC4">
        <w:trPr>
          <w:trHeight w:val="340"/>
        </w:trPr>
        <w:tc>
          <w:tcPr>
            <w:tcW w:w="1453" w:type="pct"/>
            <w:tcBorders>
              <w:top w:val="nil"/>
              <w:left w:val="sing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b/>
                <w:kern w:val="0"/>
                <w:sz w:val="28"/>
                <w:szCs w:val="28"/>
              </w:rPr>
            </w:pPr>
            <w:r w:rsidRPr="00FA3570">
              <w:rPr>
                <w:rFonts w:hAnsi="標楷體" w:cs="新細明體" w:hint="eastAsia"/>
                <w:b/>
                <w:kern w:val="0"/>
                <w:sz w:val="28"/>
                <w:szCs w:val="28"/>
              </w:rPr>
              <w:t>總計</w:t>
            </w:r>
          </w:p>
        </w:tc>
        <w:tc>
          <w:tcPr>
            <w:tcW w:w="458" w:type="pct"/>
            <w:tcBorders>
              <w:top w:val="nil"/>
              <w:left w:val="nil"/>
              <w:bottom w:val="single" w:sz="4" w:space="0" w:color="auto"/>
              <w:right w:val="doub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b/>
                <w:kern w:val="0"/>
                <w:sz w:val="28"/>
                <w:szCs w:val="28"/>
              </w:rPr>
            </w:pPr>
            <w:r w:rsidRPr="00FA3570">
              <w:rPr>
                <w:rFonts w:hAnsi="標楷體" w:cs="新細明體" w:hint="eastAsia"/>
                <w:b/>
                <w:kern w:val="0"/>
                <w:sz w:val="28"/>
                <w:szCs w:val="28"/>
              </w:rPr>
              <w:t>2</w:t>
            </w:r>
            <w:r w:rsidRPr="00FA3570">
              <w:rPr>
                <w:rFonts w:hAnsi="標楷體" w:cs="新細明體"/>
                <w:b/>
                <w:kern w:val="0"/>
                <w:sz w:val="28"/>
                <w:szCs w:val="28"/>
              </w:rPr>
              <w:t>,</w:t>
            </w:r>
            <w:r w:rsidRPr="00FA3570">
              <w:rPr>
                <w:rFonts w:hAnsi="標楷體" w:cs="新細明體" w:hint="eastAsia"/>
                <w:b/>
                <w:kern w:val="0"/>
                <w:sz w:val="28"/>
                <w:szCs w:val="28"/>
              </w:rPr>
              <w:t>020</w:t>
            </w:r>
          </w:p>
        </w:tc>
        <w:tc>
          <w:tcPr>
            <w:tcW w:w="458" w:type="pct"/>
            <w:tcBorders>
              <w:top w:val="nil"/>
              <w:left w:val="doub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b/>
                <w:kern w:val="0"/>
                <w:sz w:val="28"/>
                <w:szCs w:val="28"/>
              </w:rPr>
            </w:pPr>
            <w:r w:rsidRPr="00FA3570">
              <w:rPr>
                <w:rFonts w:hAnsi="標楷體" w:cs="新細明體" w:hint="eastAsia"/>
                <w:b/>
                <w:kern w:val="0"/>
                <w:sz w:val="28"/>
                <w:szCs w:val="28"/>
              </w:rPr>
              <w:t>1</w:t>
            </w:r>
            <w:r w:rsidRPr="00FA3570">
              <w:rPr>
                <w:rFonts w:hAnsi="標楷體" w:cs="新細明體"/>
                <w:b/>
                <w:kern w:val="0"/>
                <w:sz w:val="28"/>
                <w:szCs w:val="28"/>
              </w:rPr>
              <w:t>,</w:t>
            </w:r>
            <w:r w:rsidRPr="00FA3570">
              <w:rPr>
                <w:rFonts w:hAnsi="標楷體" w:cs="新細明體" w:hint="eastAsia"/>
                <w:b/>
                <w:kern w:val="0"/>
                <w:sz w:val="28"/>
                <w:szCs w:val="28"/>
              </w:rPr>
              <w:t>802</w:t>
            </w:r>
          </w:p>
        </w:tc>
        <w:tc>
          <w:tcPr>
            <w:tcW w:w="583" w:type="pct"/>
            <w:tcBorders>
              <w:top w:val="nil"/>
              <w:left w:val="nil"/>
              <w:bottom w:val="single" w:sz="4" w:space="0" w:color="auto"/>
              <w:right w:val="doub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b/>
                <w:kern w:val="0"/>
                <w:sz w:val="28"/>
                <w:szCs w:val="28"/>
              </w:rPr>
            </w:pPr>
            <w:r w:rsidRPr="00FA3570">
              <w:rPr>
                <w:rFonts w:hAnsi="標楷體" w:cs="新細明體" w:hint="eastAsia"/>
                <w:b/>
                <w:kern w:val="0"/>
                <w:sz w:val="28"/>
                <w:szCs w:val="28"/>
              </w:rPr>
              <w:t>89.21%</w:t>
            </w:r>
          </w:p>
        </w:tc>
        <w:tc>
          <w:tcPr>
            <w:tcW w:w="399" w:type="pct"/>
            <w:tcBorders>
              <w:top w:val="nil"/>
              <w:left w:val="double" w:sz="4" w:space="0" w:color="auto"/>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b/>
                <w:kern w:val="0"/>
                <w:sz w:val="28"/>
                <w:szCs w:val="28"/>
              </w:rPr>
            </w:pPr>
            <w:r w:rsidRPr="00FA3570">
              <w:rPr>
                <w:rFonts w:hAnsi="標楷體" w:cs="新細明體" w:hint="eastAsia"/>
                <w:b/>
                <w:kern w:val="0"/>
                <w:sz w:val="28"/>
                <w:szCs w:val="28"/>
              </w:rPr>
              <w:t>8</w:t>
            </w:r>
          </w:p>
        </w:tc>
        <w:tc>
          <w:tcPr>
            <w:tcW w:w="399"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b/>
                <w:kern w:val="0"/>
                <w:sz w:val="28"/>
                <w:szCs w:val="28"/>
              </w:rPr>
            </w:pPr>
            <w:r w:rsidRPr="00FA3570">
              <w:rPr>
                <w:rFonts w:hAnsi="標楷體" w:cs="新細明體" w:hint="eastAsia"/>
                <w:b/>
                <w:kern w:val="0"/>
                <w:sz w:val="28"/>
                <w:szCs w:val="28"/>
              </w:rPr>
              <w:t>32</w:t>
            </w:r>
          </w:p>
        </w:tc>
        <w:tc>
          <w:tcPr>
            <w:tcW w:w="399"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b/>
                <w:kern w:val="0"/>
                <w:sz w:val="28"/>
                <w:szCs w:val="28"/>
              </w:rPr>
            </w:pPr>
            <w:r w:rsidRPr="00FA3570">
              <w:rPr>
                <w:rFonts w:hAnsi="標楷體" w:cs="新細明體" w:hint="eastAsia"/>
                <w:b/>
                <w:kern w:val="0"/>
                <w:sz w:val="28"/>
                <w:szCs w:val="28"/>
              </w:rPr>
              <w:t>178</w:t>
            </w:r>
          </w:p>
        </w:tc>
        <w:tc>
          <w:tcPr>
            <w:tcW w:w="851" w:type="pct"/>
            <w:tcBorders>
              <w:top w:val="nil"/>
              <w:left w:val="nil"/>
              <w:bottom w:val="single" w:sz="4" w:space="0" w:color="auto"/>
              <w:right w:val="single" w:sz="4" w:space="0" w:color="auto"/>
            </w:tcBorders>
            <w:shd w:val="clear" w:color="auto" w:fill="auto"/>
            <w:noWrap/>
            <w:vAlign w:val="center"/>
            <w:hideMark/>
          </w:tcPr>
          <w:p w:rsidR="004C2D7C" w:rsidRPr="00FA3570" w:rsidRDefault="004C2D7C" w:rsidP="00D53CC4">
            <w:pPr>
              <w:widowControl/>
              <w:spacing w:line="360" w:lineRule="exact"/>
              <w:jc w:val="center"/>
              <w:rPr>
                <w:rFonts w:hAnsi="標楷體" w:cs="新細明體"/>
                <w:b/>
                <w:kern w:val="0"/>
                <w:sz w:val="28"/>
                <w:szCs w:val="28"/>
              </w:rPr>
            </w:pPr>
            <w:r w:rsidRPr="00FA3570">
              <w:rPr>
                <w:rFonts w:hAnsi="標楷體" w:cs="新細明體" w:hint="eastAsia"/>
                <w:b/>
                <w:kern w:val="0"/>
                <w:sz w:val="28"/>
                <w:szCs w:val="28"/>
              </w:rPr>
              <w:t>10.79%</w:t>
            </w:r>
          </w:p>
        </w:tc>
      </w:tr>
    </w:tbl>
    <w:p w:rsidR="004C2D7C" w:rsidRPr="00FA3570" w:rsidRDefault="004C2D7C" w:rsidP="004C2D7C">
      <w:pPr>
        <w:pStyle w:val="3"/>
        <w:numPr>
          <w:ilvl w:val="0"/>
          <w:numId w:val="0"/>
        </w:numPr>
        <w:spacing w:line="240" w:lineRule="exact"/>
        <w:rPr>
          <w:b/>
        </w:rPr>
      </w:pPr>
      <w:bookmarkStart w:id="91" w:name="_Toc135055479"/>
      <w:r w:rsidRPr="00FA3570">
        <w:rPr>
          <w:rFonts w:hint="eastAsia"/>
          <w:sz w:val="24"/>
          <w:szCs w:val="24"/>
        </w:rPr>
        <w:t>資料來源：教育部。</w:t>
      </w:r>
      <w:bookmarkEnd w:id="91"/>
    </w:p>
    <w:p w:rsidR="004C2D7C" w:rsidRPr="00FA3570" w:rsidRDefault="004C2D7C" w:rsidP="004C2D7C">
      <w:pPr>
        <w:pStyle w:val="3"/>
        <w:numPr>
          <w:ilvl w:val="0"/>
          <w:numId w:val="0"/>
        </w:numPr>
        <w:spacing w:line="240" w:lineRule="exact"/>
        <w:rPr>
          <w:rFonts w:hAnsi="標楷體"/>
          <w:spacing w:val="-6"/>
          <w:szCs w:val="32"/>
        </w:rPr>
      </w:pPr>
    </w:p>
    <w:p w:rsidR="004C2D7C" w:rsidRPr="00FA3570" w:rsidRDefault="004C2D7C" w:rsidP="004C2D7C">
      <w:pPr>
        <w:pStyle w:val="3"/>
        <w:numPr>
          <w:ilvl w:val="2"/>
          <w:numId w:val="1"/>
        </w:numPr>
        <w:rPr>
          <w:rFonts w:hAnsi="標楷體"/>
          <w:spacing w:val="-6"/>
          <w:szCs w:val="32"/>
        </w:rPr>
      </w:pPr>
      <w:bookmarkStart w:id="92" w:name="_Toc135055480"/>
      <w:bookmarkEnd w:id="90"/>
      <w:r w:rsidRPr="00FA3570">
        <w:rPr>
          <w:rFonts w:hAnsi="標楷體" w:hint="eastAsia"/>
          <w:spacing w:val="-6"/>
          <w:szCs w:val="32"/>
        </w:rPr>
        <w:t>針對上揭吳寶春條款技專校院碩士學生提出替代性論文占比偏低情形，教育部雖於提供給監察院之書面資料表示：「碩士學位分成學術導向及專業導向，本部授權學生碩士論文得以專業實務報告代替，倘具專業實務性之碩士生，研究內容偏理論性質為主之學術導向，針對其高階能力之養成有相輔相成之效，本部亦樂觀其成。」，惟教育部高教司與技職司代表人員到院說明時亦表示，「(監察院要求調查後)有注意到(吳寶春條款入學者之)技專校院替代性論文占比偏低現象，評估這情況應該與(替代性論文)格式不明很有關係。」、「本部已發現，即使法規已授予替代性論文的空間，實際上替代性論文(含技術報告)的架構與學位</w:t>
      </w:r>
      <w:r w:rsidRPr="00FA3570">
        <w:rPr>
          <w:rFonts w:hAnsi="標楷體" w:hint="eastAsia"/>
          <w:spacing w:val="-6"/>
          <w:szCs w:val="32"/>
        </w:rPr>
        <w:lastRenderedPageBreak/>
        <w:t>論文仍很相近，因此本部已經委託研究『專業實務報告格式』</w:t>
      </w:r>
      <w:r w:rsidRPr="00FA3570">
        <w:rPr>
          <w:rFonts w:hAnsi="標楷體"/>
          <w:spacing w:val="-6"/>
          <w:szCs w:val="32"/>
        </w:rPr>
        <w:t>…</w:t>
      </w:r>
      <w:proofErr w:type="gramStart"/>
      <w:r w:rsidRPr="00FA3570">
        <w:rPr>
          <w:rFonts w:hAnsi="標楷體"/>
          <w:spacing w:val="-6"/>
          <w:szCs w:val="32"/>
        </w:rPr>
        <w:t>…</w:t>
      </w:r>
      <w:r w:rsidRPr="00FA3570">
        <w:rPr>
          <w:rFonts w:hAnsi="標楷體" w:hint="eastAsia"/>
          <w:spacing w:val="-6"/>
          <w:szCs w:val="32"/>
        </w:rPr>
        <w:t>此外</w:t>
      </w:r>
      <w:proofErr w:type="gramEnd"/>
      <w:r w:rsidRPr="00FA3570">
        <w:rPr>
          <w:rFonts w:hAnsi="標楷體" w:hint="eastAsia"/>
          <w:spacing w:val="-6"/>
          <w:szCs w:val="32"/>
        </w:rPr>
        <w:t>，學位分流方面，也已委託私立大專</w:t>
      </w:r>
      <w:proofErr w:type="gramStart"/>
      <w:r w:rsidRPr="00FA3570">
        <w:rPr>
          <w:rFonts w:hAnsi="標楷體" w:hint="eastAsia"/>
          <w:spacing w:val="-6"/>
          <w:szCs w:val="32"/>
        </w:rPr>
        <w:t>校院協</w:t>
      </w:r>
      <w:proofErr w:type="gramEnd"/>
      <w:r w:rsidRPr="00FA3570">
        <w:rPr>
          <w:rFonts w:hAnsi="標楷體" w:hint="eastAsia"/>
          <w:spacing w:val="-6"/>
          <w:szCs w:val="32"/>
        </w:rPr>
        <w:t>進會研究中，主要議題包括：實務型碩士的修課時數是否要增加？課程中的研究報告是否要增加？等相關配套機制。」等語。此證，強調招收實務專業人員的大學入學管道，仍以提出學術論文為畢業考試通過方式，顯然有違碩士學位特殊屬性之立法宗旨；另一方面，</w:t>
      </w:r>
      <w:bookmarkStart w:id="93" w:name="_Hlk136442332"/>
      <w:r w:rsidRPr="00FA3570">
        <w:rPr>
          <w:rFonts w:hAnsi="標楷體" w:hint="eastAsia"/>
          <w:spacing w:val="-6"/>
          <w:szCs w:val="32"/>
        </w:rPr>
        <w:t>教育部既為高等教育政策主管機關，對於上揭吳寶春條款技專校院碩士學生提出替代性論文</w:t>
      </w:r>
      <w:proofErr w:type="gramStart"/>
      <w:r w:rsidRPr="00FA3570">
        <w:rPr>
          <w:rFonts w:hAnsi="標楷體" w:hint="eastAsia"/>
          <w:spacing w:val="-6"/>
          <w:szCs w:val="32"/>
        </w:rPr>
        <w:t>占比極低</w:t>
      </w:r>
      <w:proofErr w:type="gramEnd"/>
      <w:r w:rsidRPr="00FA3570">
        <w:rPr>
          <w:rFonts w:hAnsi="標楷體" w:hint="eastAsia"/>
          <w:spacing w:val="-6"/>
          <w:szCs w:val="32"/>
        </w:rPr>
        <w:t>之不合理現象，竟於監察院立案調查後始予注意並開始研處，實有負職責</w:t>
      </w:r>
      <w:bookmarkEnd w:id="93"/>
      <w:r w:rsidRPr="00FA3570">
        <w:rPr>
          <w:rFonts w:hAnsi="標楷體" w:hint="eastAsia"/>
          <w:spacing w:val="-6"/>
          <w:szCs w:val="32"/>
        </w:rPr>
        <w:t>。</w:t>
      </w:r>
      <w:bookmarkEnd w:id="92"/>
    </w:p>
    <w:p w:rsidR="004B3EAD" w:rsidRPr="00FA3570" w:rsidRDefault="004C2D7C" w:rsidP="004C2D7C">
      <w:pPr>
        <w:pStyle w:val="3"/>
        <w:numPr>
          <w:ilvl w:val="2"/>
          <w:numId w:val="1"/>
        </w:numPr>
        <w:rPr>
          <w:rFonts w:hAnsi="標楷體"/>
          <w:spacing w:val="-6"/>
          <w:szCs w:val="32"/>
        </w:rPr>
      </w:pPr>
      <w:bookmarkStart w:id="94" w:name="_Toc135055481"/>
      <w:r w:rsidRPr="00FA3570">
        <w:rPr>
          <w:rFonts w:hAnsi="標楷體" w:hint="eastAsia"/>
          <w:spacing w:val="-6"/>
          <w:szCs w:val="32"/>
        </w:rPr>
        <w:t>綜上，</w:t>
      </w:r>
      <w:bookmarkEnd w:id="94"/>
      <w:r w:rsidRPr="00FA3570">
        <w:rPr>
          <w:rFonts w:hAnsi="標楷體" w:hint="eastAsia"/>
          <w:spacing w:val="-6"/>
          <w:szCs w:val="32"/>
        </w:rPr>
        <w:t>吳寶春條款招生對象乃實務專業取向者，惟吳寶春條款碩士學生以學術論文畢業者，整體高達89.21%，</w:t>
      </w:r>
      <w:proofErr w:type="gramStart"/>
      <w:r w:rsidRPr="00FA3570">
        <w:rPr>
          <w:rFonts w:hAnsi="標楷體" w:hint="eastAsia"/>
          <w:spacing w:val="-6"/>
          <w:szCs w:val="32"/>
        </w:rPr>
        <w:t>且技專</w:t>
      </w:r>
      <w:proofErr w:type="gramEnd"/>
      <w:r w:rsidRPr="00FA3570">
        <w:rPr>
          <w:rFonts w:hAnsi="標楷體" w:hint="eastAsia"/>
          <w:spacing w:val="-6"/>
          <w:szCs w:val="32"/>
        </w:rPr>
        <w:t>校院</w:t>
      </w:r>
      <w:r w:rsidRPr="00FA3570">
        <w:rPr>
          <w:rFonts w:hint="eastAsia"/>
        </w:rPr>
        <w:t>替代性論文占比僅1.96%，甚至低於一般大</w:t>
      </w:r>
      <w:r w:rsidRPr="00FA3570">
        <w:rPr>
          <w:rFonts w:hAnsi="標楷體" w:hint="eastAsia"/>
          <w:spacing w:val="-6"/>
          <w:szCs w:val="32"/>
        </w:rPr>
        <w:t>學；公立技專校院262名吳寶春條款學生，竟全數撰寫學術論文、替代性論文比率為零，顯然有違碩士學位特殊屬性之立法宗旨。教育部對於吳寶春條款碩士學生提出替代性論文</w:t>
      </w:r>
      <w:proofErr w:type="gramStart"/>
      <w:r w:rsidRPr="00FA3570">
        <w:rPr>
          <w:rFonts w:hAnsi="標楷體" w:hint="eastAsia"/>
          <w:spacing w:val="-6"/>
          <w:szCs w:val="32"/>
        </w:rPr>
        <w:t>占比極低</w:t>
      </w:r>
      <w:proofErr w:type="gramEnd"/>
      <w:r w:rsidRPr="00FA3570">
        <w:rPr>
          <w:rFonts w:hAnsi="標楷體" w:hint="eastAsia"/>
          <w:spacing w:val="-6"/>
          <w:szCs w:val="32"/>
        </w:rPr>
        <w:t>之不合理現象，竟長期不察，自監察院調查後始予注意並開始研處，</w:t>
      </w:r>
      <w:proofErr w:type="gramStart"/>
      <w:r w:rsidRPr="00FA3570">
        <w:rPr>
          <w:rFonts w:hAnsi="標楷體" w:hint="eastAsia"/>
          <w:spacing w:val="-6"/>
          <w:szCs w:val="32"/>
        </w:rPr>
        <w:t>難謂善</w:t>
      </w:r>
      <w:proofErr w:type="gramEnd"/>
      <w:r w:rsidRPr="00FA3570">
        <w:rPr>
          <w:rFonts w:hAnsi="標楷體" w:hint="eastAsia"/>
          <w:spacing w:val="-6"/>
          <w:szCs w:val="32"/>
        </w:rPr>
        <w:t>盡高等教育政策主管機關職責，核有違失。</w:t>
      </w:r>
    </w:p>
    <w:p w:rsidR="00CF616C" w:rsidRPr="00FA3570" w:rsidRDefault="00CF616C" w:rsidP="00F520CF">
      <w:pPr>
        <w:pStyle w:val="3"/>
        <w:numPr>
          <w:ilvl w:val="0"/>
          <w:numId w:val="0"/>
        </w:numPr>
      </w:pPr>
    </w:p>
    <w:bookmarkEnd w:id="42"/>
    <w:p w:rsidR="004575B6" w:rsidRPr="00FA3570" w:rsidRDefault="004575B6" w:rsidP="004575B6">
      <w:pPr>
        <w:pStyle w:val="4"/>
        <w:sectPr w:rsidR="004575B6" w:rsidRPr="00FA3570" w:rsidSect="001726B5">
          <w:footerReference w:type="default" r:id="rId9"/>
          <w:pgSz w:w="11907" w:h="16840" w:code="9"/>
          <w:pgMar w:top="1701" w:right="1418" w:bottom="1418" w:left="1418" w:header="851" w:footer="851" w:gutter="227"/>
          <w:cols w:space="425"/>
          <w:docGrid w:type="linesAndChars" w:linePitch="457" w:charSpace="4127"/>
        </w:sectPr>
      </w:pPr>
    </w:p>
    <w:p w:rsidR="00286B1B" w:rsidRPr="00FA3570" w:rsidRDefault="000512D1" w:rsidP="00C86866">
      <w:pPr>
        <w:pStyle w:val="10"/>
        <w:ind w:left="680" w:firstLine="680"/>
      </w:pPr>
      <w:bookmarkStart w:id="95" w:name="_Toc524902730"/>
      <w:bookmarkEnd w:id="35"/>
      <w:bookmarkEnd w:id="36"/>
      <w:bookmarkEnd w:id="37"/>
      <w:bookmarkEnd w:id="38"/>
      <w:bookmarkEnd w:id="39"/>
      <w:bookmarkEnd w:id="40"/>
      <w:r w:rsidRPr="00FA3570">
        <w:rPr>
          <w:rFonts w:hint="eastAsia"/>
        </w:rPr>
        <w:lastRenderedPageBreak/>
        <w:t>綜上所述，</w:t>
      </w:r>
      <w:r w:rsidR="00FF07B4" w:rsidRPr="00FA3570">
        <w:rPr>
          <w:rFonts w:hint="eastAsia"/>
        </w:rPr>
        <w:t>在大專校院未能嚴格把關之情形下，吳寶春條款產生「大學入學考試過於寬鬆或學位授予涉及違反學術倫理」等爭議，已嚴重打擊高等教育形象，教育部卻</w:t>
      </w:r>
      <w:r w:rsidR="00FF07B4">
        <w:rPr>
          <w:rFonts w:hint="eastAsia"/>
          <w:bCs/>
        </w:rPr>
        <w:t>僅</w:t>
      </w:r>
      <w:r w:rsidR="00FF07B4" w:rsidRPr="00FA3570">
        <w:rPr>
          <w:rFonts w:hint="eastAsia"/>
        </w:rPr>
        <w:t>採取被動、事後查處，以及於「教學品質查核作業」時「抽查」學校資料一併注意等作法，</w:t>
      </w:r>
      <w:r w:rsidR="00FF07B4" w:rsidRPr="00FA3570">
        <w:rPr>
          <w:rFonts w:hint="eastAsia"/>
          <w:bCs/>
        </w:rPr>
        <w:t>對於</w:t>
      </w:r>
      <w:r w:rsidR="00FF07B4" w:rsidRPr="00FA3570">
        <w:rPr>
          <w:rFonts w:hint="eastAsia"/>
        </w:rPr>
        <w:t>吳寶春條款實況</w:t>
      </w:r>
      <w:r w:rsidR="00FF07B4" w:rsidRPr="00FA3570">
        <w:rPr>
          <w:rFonts w:hint="eastAsia"/>
          <w:bCs/>
        </w:rPr>
        <w:t>之掌握態度消極</w:t>
      </w:r>
      <w:r w:rsidR="00FF07B4" w:rsidRPr="00FA3570">
        <w:rPr>
          <w:rFonts w:hint="eastAsia"/>
        </w:rPr>
        <w:t>，致高等教育品質承受傷害風險</w:t>
      </w:r>
      <w:r w:rsidR="00CC7EF0" w:rsidRPr="00FA3570">
        <w:rPr>
          <w:rFonts w:hint="eastAsia"/>
        </w:rPr>
        <w:t>；復</w:t>
      </w:r>
      <w:proofErr w:type="gramStart"/>
      <w:r w:rsidR="00CC7EF0" w:rsidRPr="00FA3570">
        <w:rPr>
          <w:rFonts w:hint="eastAsia"/>
        </w:rPr>
        <w:t>以</w:t>
      </w:r>
      <w:proofErr w:type="gramEnd"/>
      <w:r w:rsidR="00CC7EF0" w:rsidRPr="00FA3570">
        <w:rPr>
          <w:rFonts w:hint="eastAsia"/>
        </w:rPr>
        <w:t>，對於「</w:t>
      </w:r>
      <w:r w:rsidR="00CC7EF0" w:rsidRPr="00FA3570">
        <w:rPr>
          <w:rFonts w:hAnsi="Arial" w:hint="eastAsia"/>
          <w:szCs w:val="52"/>
        </w:rPr>
        <w:t>吳寶春條款碩士學生以學術論文畢業者，整體高達89.21%，</w:t>
      </w:r>
      <w:proofErr w:type="gramStart"/>
      <w:r w:rsidR="00CC7EF0" w:rsidRPr="00FA3570">
        <w:rPr>
          <w:rFonts w:hAnsi="Arial" w:hint="eastAsia"/>
          <w:szCs w:val="52"/>
        </w:rPr>
        <w:t>且技</w:t>
      </w:r>
      <w:proofErr w:type="gramEnd"/>
      <w:r w:rsidR="00CC7EF0" w:rsidRPr="00FA3570">
        <w:rPr>
          <w:rFonts w:hAnsi="Arial" w:hint="eastAsia"/>
          <w:szCs w:val="52"/>
        </w:rPr>
        <w:t>專校院</w:t>
      </w:r>
      <w:r w:rsidR="00CC7EF0" w:rsidRPr="00FA3570">
        <w:rPr>
          <w:rFonts w:hint="eastAsia"/>
          <w:szCs w:val="52"/>
        </w:rPr>
        <w:t>替代性論文占比僅1.96%</w:t>
      </w:r>
      <w:r w:rsidR="00CC7EF0" w:rsidRPr="00FA3570">
        <w:rPr>
          <w:rFonts w:hint="eastAsia"/>
        </w:rPr>
        <w:t>，甚至低於</w:t>
      </w:r>
      <w:r w:rsidR="00CC7EF0" w:rsidRPr="00FA3570">
        <w:rPr>
          <w:rFonts w:hint="eastAsia"/>
          <w:szCs w:val="52"/>
        </w:rPr>
        <w:t>一般大</w:t>
      </w:r>
      <w:r w:rsidR="00CC7EF0" w:rsidRPr="00FA3570">
        <w:rPr>
          <w:rFonts w:hAnsi="Arial" w:hint="eastAsia"/>
          <w:szCs w:val="52"/>
        </w:rPr>
        <w:t>學；公立技專校院262名吳寶春條款學生，竟全數撰寫學術論文、替代性論文比率為零</w:t>
      </w:r>
      <w:r w:rsidR="00CC7EF0" w:rsidRPr="00FA3570">
        <w:rPr>
          <w:rFonts w:hint="eastAsia"/>
        </w:rPr>
        <w:t>」</w:t>
      </w:r>
      <w:r w:rsidR="00CC7EF0" w:rsidRPr="00FA3570">
        <w:rPr>
          <w:rFonts w:hAnsi="Arial" w:hint="eastAsia"/>
          <w:szCs w:val="52"/>
        </w:rPr>
        <w:t>等不合理現象，竟於監察院立案調查後始予注意並開始</w:t>
      </w:r>
      <w:proofErr w:type="gramStart"/>
      <w:r w:rsidR="00CC7EF0" w:rsidRPr="00FA3570">
        <w:rPr>
          <w:rFonts w:hAnsi="Arial" w:hint="eastAsia"/>
          <w:szCs w:val="52"/>
        </w:rPr>
        <w:t>研</w:t>
      </w:r>
      <w:proofErr w:type="gramEnd"/>
      <w:r w:rsidR="00CC7EF0" w:rsidRPr="00FA3570">
        <w:rPr>
          <w:rFonts w:hAnsi="Arial" w:hint="eastAsia"/>
          <w:szCs w:val="52"/>
        </w:rPr>
        <w:t>處，</w:t>
      </w:r>
      <w:proofErr w:type="gramStart"/>
      <w:r w:rsidR="00465651" w:rsidRPr="00FA3570">
        <w:rPr>
          <w:rFonts w:hAnsi="Arial" w:hint="eastAsia"/>
          <w:szCs w:val="52"/>
        </w:rPr>
        <w:t>均</w:t>
      </w:r>
      <w:r w:rsidR="00CC7EF0" w:rsidRPr="00FA3570">
        <w:rPr>
          <w:rFonts w:hAnsi="Arial" w:hint="eastAsia"/>
          <w:szCs w:val="52"/>
        </w:rPr>
        <w:t>有</w:t>
      </w:r>
      <w:proofErr w:type="gramEnd"/>
      <w:r w:rsidR="00CC7EF0" w:rsidRPr="00FA3570">
        <w:rPr>
          <w:rFonts w:hAnsi="Arial" w:hint="eastAsia"/>
          <w:szCs w:val="52"/>
        </w:rPr>
        <w:t>負其高等教育政策主管機關職責</w:t>
      </w:r>
      <w:r w:rsidR="00CC7EF0" w:rsidRPr="00FA3570">
        <w:rPr>
          <w:rFonts w:hint="eastAsia"/>
        </w:rPr>
        <w:t>，</w:t>
      </w:r>
      <w:r w:rsidR="00CC7EF0" w:rsidRPr="00FA3570">
        <w:rPr>
          <w:rFonts w:hAnsi="Arial" w:hint="eastAsia"/>
        </w:rPr>
        <w:t>核有違失</w:t>
      </w:r>
      <w:r w:rsidRPr="00FA3570">
        <w:rPr>
          <w:rFonts w:hint="eastAsia"/>
        </w:rPr>
        <w:t>，爰依</w:t>
      </w:r>
      <w:r w:rsidR="001B48EB" w:rsidRPr="00FA3570">
        <w:rPr>
          <w:rFonts w:hint="eastAsia"/>
          <w:bCs/>
        </w:rPr>
        <w:t>憲法第97條第1項及</w:t>
      </w:r>
      <w:r w:rsidRPr="00FA3570">
        <w:rPr>
          <w:rFonts w:hint="eastAsia"/>
        </w:rPr>
        <w:t>監察法第24條</w:t>
      </w:r>
      <w:r w:rsidR="00396EC5" w:rsidRPr="00FA3570">
        <w:rPr>
          <w:rFonts w:hint="eastAsia"/>
        </w:rPr>
        <w:t>之</w:t>
      </w:r>
      <w:r w:rsidRPr="00FA3570">
        <w:rPr>
          <w:rFonts w:hint="eastAsia"/>
        </w:rPr>
        <w:t>規定提案糾正，移送行政院轉飭所屬確實檢討改善</w:t>
      </w:r>
      <w:proofErr w:type="gramStart"/>
      <w:r w:rsidRPr="00FA3570">
        <w:rPr>
          <w:rFonts w:hint="eastAsia"/>
        </w:rPr>
        <w:t>見復</w:t>
      </w:r>
      <w:proofErr w:type="gramEnd"/>
      <w:r w:rsidR="00286B1B" w:rsidRPr="00FA3570">
        <w:rPr>
          <w:rFonts w:hint="eastAsia"/>
        </w:rPr>
        <w:t>。</w:t>
      </w:r>
    </w:p>
    <w:p w:rsidR="00404292" w:rsidRPr="00FA3570" w:rsidRDefault="00404292" w:rsidP="00286B1B">
      <w:pPr>
        <w:pStyle w:val="aa"/>
        <w:spacing w:beforeLines="50" w:before="228" w:after="0"/>
        <w:ind w:leftChars="1100" w:left="3742"/>
        <w:rPr>
          <w:b w:val="0"/>
          <w:bCs/>
          <w:snapToGrid/>
          <w:spacing w:val="0"/>
          <w:kern w:val="0"/>
        </w:rPr>
      </w:pPr>
      <w:bookmarkStart w:id="96" w:name="_Toc524895649"/>
      <w:bookmarkStart w:id="97" w:name="_Toc524896195"/>
      <w:bookmarkStart w:id="98" w:name="_Toc524896225"/>
      <w:bookmarkStart w:id="99" w:name="_GoBack"/>
      <w:bookmarkEnd w:id="95"/>
      <w:bookmarkEnd w:id="96"/>
      <w:bookmarkEnd w:id="97"/>
      <w:bookmarkEnd w:id="98"/>
      <w:bookmarkEnd w:id="99"/>
    </w:p>
    <w:sectPr w:rsidR="00404292" w:rsidRPr="00FA3570" w:rsidSect="009A060A">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99F" w:rsidRDefault="0044599F">
      <w:r>
        <w:separator/>
      </w:r>
    </w:p>
  </w:endnote>
  <w:endnote w:type="continuationSeparator" w:id="0">
    <w:p w:rsidR="0044599F" w:rsidRDefault="0044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6B5" w:rsidRDefault="001726B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w:t>
    </w:r>
    <w:r>
      <w:rPr>
        <w:rStyle w:val="ac"/>
        <w:sz w:val="24"/>
      </w:rPr>
      <w:fldChar w:fldCharType="end"/>
    </w:r>
  </w:p>
  <w:p w:rsidR="001726B5" w:rsidRDefault="001726B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99F" w:rsidRDefault="0044599F">
      <w:r>
        <w:separator/>
      </w:r>
    </w:p>
  </w:footnote>
  <w:footnote w:type="continuationSeparator" w:id="0">
    <w:p w:rsidR="0044599F" w:rsidRDefault="0044599F">
      <w:r>
        <w:continuationSeparator/>
      </w:r>
    </w:p>
  </w:footnote>
  <w:footnote w:id="1">
    <w:p w:rsidR="00423DEF" w:rsidRPr="00423DEF" w:rsidRDefault="00423DEF">
      <w:pPr>
        <w:pStyle w:val="afb"/>
      </w:pPr>
      <w:r>
        <w:rPr>
          <w:rStyle w:val="afd"/>
        </w:rPr>
        <w:footnoteRef/>
      </w:r>
      <w:r>
        <w:t xml:space="preserve"> </w:t>
      </w:r>
      <w:r>
        <w:rPr>
          <w:rFonts w:hint="eastAsia"/>
        </w:rPr>
        <w:t>參考資料：教育部新聞稿102年3月21日新聞稿「</w:t>
      </w:r>
      <w:r>
        <w:rPr>
          <w:rFonts w:ascii="Arial" w:hAnsi="Arial" w:cs="Arial"/>
          <w:color w:val="343434"/>
          <w:shd w:val="clear" w:color="auto" w:fill="FFFFFF"/>
        </w:rPr>
        <w:t>針對吳寶春申請報考國內</w:t>
      </w:r>
      <w:r>
        <w:rPr>
          <w:rFonts w:ascii="Arial" w:hAnsi="Arial" w:cs="Arial"/>
          <w:color w:val="343434"/>
          <w:shd w:val="clear" w:color="auto" w:fill="FFFFFF"/>
        </w:rPr>
        <w:t>EMBA</w:t>
      </w:r>
      <w:r>
        <w:rPr>
          <w:rFonts w:ascii="Arial" w:hAnsi="Arial" w:cs="Arial"/>
          <w:color w:val="343434"/>
          <w:shd w:val="clear" w:color="auto" w:fill="FFFFFF"/>
        </w:rPr>
        <w:t>之相關問題，教育部之說明</w:t>
      </w:r>
      <w:r>
        <w:rPr>
          <w:rFonts w:hint="eastAsia"/>
        </w:rPr>
        <w:t>」(</w:t>
      </w:r>
      <w:hyperlink r:id="rId1" w:history="1">
        <w:r>
          <w:rPr>
            <w:rStyle w:val="ae"/>
          </w:rPr>
          <w:t>針對吳寶春申請報考國內EMBA之相關問題，教育部之說明 (moe.edu.tw)</w:t>
        </w:r>
      </w:hyperlink>
      <w:r>
        <w:rPr>
          <w:rFonts w:hint="eastAsia"/>
        </w:rPr>
        <w:t>)；102年3月30日中央社報導「教育部通過吳寶春條款」(取</w:t>
      </w:r>
      <w:proofErr w:type="gramStart"/>
      <w:r>
        <w:rPr>
          <w:rFonts w:hint="eastAsia"/>
        </w:rPr>
        <w:t>自</w:t>
      </w:r>
      <w:proofErr w:type="gramEnd"/>
      <w:r>
        <w:rPr>
          <w:rFonts w:hint="eastAsia"/>
        </w:rPr>
        <w:t>：</w:t>
      </w:r>
      <w:hyperlink r:id="rId2" w:history="1">
        <w:r>
          <w:rPr>
            <w:rStyle w:val="ae"/>
          </w:rPr>
          <w:t>教部通過吳寶春條款 (yahoo.com)</w:t>
        </w:r>
      </w:hyperlink>
      <w:r>
        <w:rPr>
          <w:rFonts w:hint="eastAsia"/>
        </w:rPr>
        <w:t>)。</w:t>
      </w:r>
    </w:p>
  </w:footnote>
  <w:footnote w:id="2">
    <w:p w:rsidR="00423DEF" w:rsidRPr="00423DEF" w:rsidRDefault="00423DEF">
      <w:pPr>
        <w:pStyle w:val="afb"/>
      </w:pPr>
      <w:r>
        <w:rPr>
          <w:rStyle w:val="afd"/>
        </w:rPr>
        <w:footnoteRef/>
      </w:r>
      <w:r>
        <w:t xml:space="preserve"> </w:t>
      </w:r>
      <w:r w:rsidRPr="003810AD">
        <w:rPr>
          <w:rFonts w:hint="eastAsia"/>
        </w:rPr>
        <w:t>教育部102年4月3日修正「</w:t>
      </w:r>
      <w:r w:rsidRPr="003810AD">
        <w:t>入學大學同等學力認定標準</w:t>
      </w:r>
      <w:r w:rsidRPr="003810AD">
        <w:rPr>
          <w:rFonts w:hint="eastAsia"/>
        </w:rPr>
        <w:t>」第6條為：「大學經教育部核可後，</w:t>
      </w:r>
      <w:r w:rsidRPr="003810AD">
        <w:rPr>
          <w:rFonts w:hint="eastAsia"/>
          <w:u w:val="single"/>
        </w:rPr>
        <w:t>就專業領域具卓越成就表現者</w:t>
      </w:r>
      <w:r w:rsidRPr="003810AD">
        <w:rPr>
          <w:rFonts w:hint="eastAsia"/>
        </w:rPr>
        <w:t>，經校級招生委員會審議通過，得准其以同等學力報考第二條至第四條所定新生入學考試。」；104年9月27日復經修正「</w:t>
      </w:r>
      <w:r w:rsidRPr="003810AD">
        <w:t>入學大學同等學力認定標準</w:t>
      </w:r>
      <w:r w:rsidRPr="003810AD">
        <w:rPr>
          <w:rFonts w:hint="eastAsia"/>
        </w:rPr>
        <w:t>」，原第6條條次變更</w:t>
      </w:r>
      <w:r>
        <w:rPr>
          <w:rFonts w:hint="eastAsia"/>
        </w:rPr>
        <w:t>為第7條，</w:t>
      </w:r>
      <w:r w:rsidRPr="003810AD">
        <w:rPr>
          <w:rFonts w:hint="eastAsia"/>
        </w:rPr>
        <w:t>並修改為：「大學經教育部核可後，就專業領域具卓越成就表現者，經校級</w:t>
      </w:r>
      <w:r w:rsidRPr="003810AD">
        <w:rPr>
          <w:rFonts w:hint="eastAsia"/>
          <w:u w:val="single"/>
        </w:rPr>
        <w:t>或聯合招生委員會</w:t>
      </w:r>
      <w:r w:rsidRPr="003810AD">
        <w:rPr>
          <w:rFonts w:hint="eastAsia"/>
        </w:rPr>
        <w:t>審議通過，得准其以同等學力報考</w:t>
      </w:r>
      <w:r w:rsidRPr="003810AD">
        <w:rPr>
          <w:rFonts w:hint="eastAsia"/>
          <w:u w:val="single"/>
        </w:rPr>
        <w:t>第二條、第三條及第五條</w:t>
      </w:r>
      <w:r w:rsidRPr="003810AD">
        <w:rPr>
          <w:rFonts w:hint="eastAsia"/>
        </w:rPr>
        <w:t>所定新生入學考試。」</w:t>
      </w:r>
      <w:proofErr w:type="gramStart"/>
      <w:r w:rsidRPr="003810AD">
        <w:rPr>
          <w:rFonts w:hint="eastAsia"/>
        </w:rPr>
        <w:t>爰</w:t>
      </w:r>
      <w:proofErr w:type="gramEnd"/>
      <w:r w:rsidRPr="003810AD">
        <w:rPr>
          <w:rFonts w:hint="eastAsia"/>
        </w:rPr>
        <w:t>此，大學據以招收「以專業領域具卓越成就表現視同同等學力而入學者」的法規，亦被稱為「吳寶春條款」。</w:t>
      </w:r>
    </w:p>
  </w:footnote>
  <w:footnote w:id="3">
    <w:p w:rsidR="004B3EAD" w:rsidRPr="00592B1B" w:rsidRDefault="004B3EAD" w:rsidP="004B3EAD">
      <w:pPr>
        <w:pStyle w:val="afb"/>
      </w:pPr>
      <w:r>
        <w:rPr>
          <w:rStyle w:val="afd"/>
        </w:rPr>
        <w:footnoteRef/>
      </w:r>
      <w:r>
        <w:t xml:space="preserve"> </w:t>
      </w:r>
      <w:r w:rsidRPr="00E57531">
        <w:t>中國醫藥大學及高雄醫學大學等2校未招收該類學生</w:t>
      </w:r>
      <w:r>
        <w:rPr>
          <w:rFonts w:hint="eastAsia"/>
        </w:rPr>
        <w:t>。</w:t>
      </w:r>
    </w:p>
  </w:footnote>
  <w:footnote w:id="4">
    <w:p w:rsidR="004B3EAD" w:rsidRPr="00592B1B" w:rsidRDefault="004B3EAD" w:rsidP="004B3EAD">
      <w:pPr>
        <w:pStyle w:val="afb"/>
      </w:pPr>
      <w:r>
        <w:rPr>
          <w:rStyle w:val="afd"/>
        </w:rPr>
        <w:footnoteRef/>
      </w:r>
      <w:r>
        <w:t xml:space="preserve"> </w:t>
      </w:r>
      <w:r w:rsidRPr="00E57531">
        <w:t>國立</w:t>
      </w:r>
      <w:proofErr w:type="gramStart"/>
      <w:r w:rsidRPr="00E57531">
        <w:t>臺</w:t>
      </w:r>
      <w:proofErr w:type="gramEnd"/>
      <w:r w:rsidRPr="00E57531">
        <w:t>北護理健康大學、文藻外語大學、弘光科技大學、明志科技大學、長庚科技大學及慈濟科技大學等6校未招收該類學生</w:t>
      </w:r>
      <w:r>
        <w:rPr>
          <w:rFonts w:hint="eastAsia"/>
        </w:rPr>
        <w:t>。</w:t>
      </w:r>
    </w:p>
  </w:footnote>
  <w:footnote w:id="5">
    <w:p w:rsidR="004C2D7C" w:rsidRPr="001B29A5" w:rsidRDefault="004C2D7C" w:rsidP="004C2D7C">
      <w:pPr>
        <w:pStyle w:val="afb"/>
      </w:pPr>
      <w:r>
        <w:rPr>
          <w:rStyle w:val="afd"/>
        </w:rPr>
        <w:footnoteRef/>
      </w:r>
      <w:r>
        <w:t xml:space="preserve"> </w:t>
      </w:r>
      <w:r>
        <w:rPr>
          <w:rFonts w:hint="eastAsia"/>
        </w:rPr>
        <w:t>教育部</w:t>
      </w:r>
      <w:r w:rsidRPr="0012637B">
        <w:t>108</w:t>
      </w:r>
      <w:r w:rsidRPr="0012637B">
        <w:rPr>
          <w:rFonts w:hint="eastAsia"/>
        </w:rPr>
        <w:t>年</w:t>
      </w:r>
      <w:r w:rsidRPr="0012637B">
        <w:t>7</w:t>
      </w:r>
      <w:r w:rsidRPr="0012637B">
        <w:rPr>
          <w:rFonts w:hint="eastAsia"/>
        </w:rPr>
        <w:t>月</w:t>
      </w:r>
      <w:r w:rsidRPr="0012637B">
        <w:t>9</w:t>
      </w:r>
      <w:r w:rsidRPr="0012637B">
        <w:rPr>
          <w:rFonts w:hint="eastAsia"/>
        </w:rPr>
        <w:t>日以</w:t>
      </w:r>
      <w:proofErr w:type="gramStart"/>
      <w:r w:rsidRPr="0012637B">
        <w:rPr>
          <w:rFonts w:hint="eastAsia"/>
        </w:rPr>
        <w:t>臺教技</w:t>
      </w:r>
      <w:proofErr w:type="gramEnd"/>
      <w:r w:rsidRPr="0012637B">
        <w:t>(</w:t>
      </w:r>
      <w:r w:rsidRPr="0012637B">
        <w:rPr>
          <w:rFonts w:hint="eastAsia"/>
        </w:rPr>
        <w:t>四</w:t>
      </w:r>
      <w:r w:rsidRPr="0012637B">
        <w:t>)</w:t>
      </w:r>
      <w:r w:rsidRPr="0012637B">
        <w:rPr>
          <w:rFonts w:hint="eastAsia"/>
        </w:rPr>
        <w:t>字第</w:t>
      </w:r>
      <w:r w:rsidRPr="0012637B">
        <w:t>1080084145A</w:t>
      </w:r>
      <w:r w:rsidRPr="0012637B">
        <w:rPr>
          <w:rFonts w:hint="eastAsia"/>
        </w:rPr>
        <w:t>號函</w:t>
      </w:r>
      <w:r>
        <w:rPr>
          <w:rFonts w:hint="eastAsia"/>
        </w:rPr>
        <w:t>。</w:t>
      </w:r>
    </w:p>
  </w:footnote>
  <w:footnote w:id="6">
    <w:p w:rsidR="004C2D7C" w:rsidRDefault="004C2D7C" w:rsidP="004C2D7C">
      <w:pPr>
        <w:pStyle w:val="afb"/>
      </w:pPr>
      <w:r>
        <w:rPr>
          <w:rStyle w:val="afd"/>
        </w:rPr>
        <w:footnoteRef/>
      </w:r>
      <w:r>
        <w:t xml:space="preserve"> </w:t>
      </w:r>
      <w:r w:rsidRPr="000966A4">
        <w:t>亞洲大學以 111 年 8 月 29 日</w:t>
      </w:r>
      <w:proofErr w:type="gramStart"/>
      <w:r w:rsidRPr="000966A4">
        <w:t>亞洲招字第</w:t>
      </w:r>
      <w:proofErr w:type="gramEnd"/>
      <w:r w:rsidRPr="000966A4">
        <w:t xml:space="preserve"> 1110011521 號及 111 年 11 月 11 日</w:t>
      </w:r>
      <w:proofErr w:type="gramStart"/>
      <w:r w:rsidRPr="000966A4">
        <w:t>亞洲招字第</w:t>
      </w:r>
      <w:proofErr w:type="gramEnd"/>
      <w:r w:rsidRPr="000966A4">
        <w:t xml:space="preserve"> 11100143410 號函</w:t>
      </w:r>
      <w:r w:rsidRPr="000966A4">
        <w:rPr>
          <w:rFonts w:hint="eastAsia"/>
        </w:rPr>
        <w:t>向教育部</w:t>
      </w:r>
      <w:r w:rsidRPr="000966A4">
        <w:t>說明</w:t>
      </w:r>
      <w:r w:rsidRPr="000966A4">
        <w:rPr>
          <w:rFonts w:hint="eastAsia"/>
        </w:rPr>
        <w:t>「亞洲大學</w:t>
      </w:r>
      <w:r w:rsidRPr="000966A4">
        <w:t>招生簡章規定、該類別學生報名之相關證明文件是否依規定先提交校級招生委員會審議確認後始得同意報考，及</w:t>
      </w:r>
      <w:r w:rsidRPr="000966A4">
        <w:rPr>
          <w:rFonts w:hint="eastAsia"/>
        </w:rPr>
        <w:t>該校</w:t>
      </w:r>
      <w:r w:rsidRPr="000966A4">
        <w:t>各學系審查程序為何，各學系之專業領域如何認定</w:t>
      </w:r>
      <w:r w:rsidRPr="000966A4">
        <w:rPr>
          <w:rFonts w:hint="eastAsia"/>
        </w:rPr>
        <w:t>」等事項。</w:t>
      </w:r>
    </w:p>
  </w:footnote>
  <w:footnote w:id="7">
    <w:p w:rsidR="004C2D7C" w:rsidRDefault="004C2D7C" w:rsidP="004C2D7C">
      <w:pPr>
        <w:pStyle w:val="afb"/>
      </w:pPr>
      <w:r>
        <w:rPr>
          <w:rStyle w:val="afd"/>
        </w:rPr>
        <w:footnoteRef/>
      </w:r>
      <w:r>
        <w:t xml:space="preserve"> </w:t>
      </w:r>
      <w:r>
        <w:rPr>
          <w:rFonts w:hint="eastAsia"/>
        </w:rPr>
        <w:t>教育部</w:t>
      </w:r>
      <w:proofErr w:type="gramStart"/>
      <w:r w:rsidRPr="0029534B">
        <w:t>臺</w:t>
      </w:r>
      <w:proofErr w:type="gramEnd"/>
      <w:r w:rsidRPr="0029534B">
        <w:t>教高(四)字第</w:t>
      </w:r>
      <w:r>
        <w:t>1110111975A號函</w:t>
      </w:r>
      <w:r>
        <w:rPr>
          <w:rFonts w:hint="eastAsia"/>
        </w:rPr>
        <w:t>。</w:t>
      </w:r>
    </w:p>
  </w:footnote>
  <w:footnote w:id="8">
    <w:p w:rsidR="004C2D7C" w:rsidRPr="00B66702" w:rsidRDefault="004C2D7C" w:rsidP="004C2D7C">
      <w:pPr>
        <w:pStyle w:val="afb"/>
      </w:pPr>
      <w:r>
        <w:rPr>
          <w:rStyle w:val="afd"/>
        </w:rPr>
        <w:footnoteRef/>
      </w:r>
      <w:r>
        <w:t xml:space="preserve"> </w:t>
      </w:r>
      <w:r>
        <w:rPr>
          <w:rFonts w:hint="eastAsia"/>
        </w:rPr>
        <w:t>教育部</w:t>
      </w:r>
      <w:r w:rsidRPr="00B66702">
        <w:t>111</w:t>
      </w:r>
      <w:r w:rsidRPr="00B66702">
        <w:rPr>
          <w:rFonts w:hint="eastAsia"/>
        </w:rPr>
        <w:t>年</w:t>
      </w:r>
      <w:r w:rsidRPr="00B66702">
        <w:t>10</w:t>
      </w:r>
      <w:r w:rsidRPr="00B66702">
        <w:rPr>
          <w:rFonts w:hint="eastAsia"/>
        </w:rPr>
        <w:t>月</w:t>
      </w:r>
      <w:r w:rsidRPr="00B66702">
        <w:t>24</w:t>
      </w:r>
      <w:r w:rsidRPr="00B66702">
        <w:rPr>
          <w:rFonts w:hint="eastAsia"/>
        </w:rPr>
        <w:t>日</w:t>
      </w:r>
      <w:proofErr w:type="gramStart"/>
      <w:r w:rsidRPr="00B66702">
        <w:rPr>
          <w:rFonts w:hint="eastAsia"/>
        </w:rPr>
        <w:t>臺教技</w:t>
      </w:r>
      <w:proofErr w:type="gramEnd"/>
      <w:r w:rsidRPr="00B66702">
        <w:rPr>
          <w:rFonts w:hint="eastAsia"/>
        </w:rPr>
        <w:t>（一）字第</w:t>
      </w:r>
      <w:r w:rsidRPr="00B66702">
        <w:t>1112303443B</w:t>
      </w:r>
      <w:r w:rsidRPr="00B66702">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704B34"/>
    <w:multiLevelType w:val="hybridMultilevel"/>
    <w:tmpl w:val="A588EA52"/>
    <w:lvl w:ilvl="0" w:tplc="3B4C4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E556980"/>
    <w:multiLevelType w:val="hybridMultilevel"/>
    <w:tmpl w:val="F4DC4B26"/>
    <w:lvl w:ilvl="0" w:tplc="C05E8FF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4"/>
  </w:num>
  <w:num w:numId="31">
    <w:abstractNumId w:val="4"/>
  </w:num>
  <w:num w:numId="32">
    <w:abstractNumId w:val="1"/>
  </w:num>
  <w:num w:numId="33">
    <w:abstractNumId w:val="1"/>
  </w:num>
  <w:num w:numId="34">
    <w:abstractNumId w:val="1"/>
  </w:num>
  <w:num w:numId="35">
    <w:abstractNumId w:val="7"/>
  </w:num>
  <w:num w:numId="36">
    <w:abstractNumId w:val="1"/>
  </w:num>
  <w:num w:numId="37">
    <w:abstractNumId w:val="5"/>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44AB"/>
    <w:rsid w:val="00017318"/>
    <w:rsid w:val="000246F7"/>
    <w:rsid w:val="0003114D"/>
    <w:rsid w:val="00036D76"/>
    <w:rsid w:val="00050778"/>
    <w:rsid w:val="000512D1"/>
    <w:rsid w:val="00057F32"/>
    <w:rsid w:val="00057F34"/>
    <w:rsid w:val="00062A25"/>
    <w:rsid w:val="00066481"/>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0F7E5B"/>
    <w:rsid w:val="00102B9F"/>
    <w:rsid w:val="00112637"/>
    <w:rsid w:val="0012001E"/>
    <w:rsid w:val="00126A55"/>
    <w:rsid w:val="00133AA2"/>
    <w:rsid w:val="00133F08"/>
    <w:rsid w:val="001345E6"/>
    <w:rsid w:val="001378B0"/>
    <w:rsid w:val="00142E00"/>
    <w:rsid w:val="00152793"/>
    <w:rsid w:val="001545A9"/>
    <w:rsid w:val="001637C7"/>
    <w:rsid w:val="0016480E"/>
    <w:rsid w:val="001726B5"/>
    <w:rsid w:val="00174297"/>
    <w:rsid w:val="001817B3"/>
    <w:rsid w:val="00183014"/>
    <w:rsid w:val="001959C2"/>
    <w:rsid w:val="001A7968"/>
    <w:rsid w:val="001B3483"/>
    <w:rsid w:val="001B3C1E"/>
    <w:rsid w:val="001B4494"/>
    <w:rsid w:val="001B48EB"/>
    <w:rsid w:val="001C0D8B"/>
    <w:rsid w:val="001C0DA8"/>
    <w:rsid w:val="001D2814"/>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2719B"/>
    <w:rsid w:val="003302F1"/>
    <w:rsid w:val="003360EE"/>
    <w:rsid w:val="0034470E"/>
    <w:rsid w:val="00352DB0"/>
    <w:rsid w:val="00371833"/>
    <w:rsid w:val="00371ED3"/>
    <w:rsid w:val="0037728A"/>
    <w:rsid w:val="00380B7D"/>
    <w:rsid w:val="00381A99"/>
    <w:rsid w:val="003829C2"/>
    <w:rsid w:val="00384724"/>
    <w:rsid w:val="00385F3B"/>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64BA"/>
    <w:rsid w:val="003D7B75"/>
    <w:rsid w:val="003E0208"/>
    <w:rsid w:val="003E4B57"/>
    <w:rsid w:val="003F27E1"/>
    <w:rsid w:val="003F437A"/>
    <w:rsid w:val="003F5C2B"/>
    <w:rsid w:val="004023E9"/>
    <w:rsid w:val="00404292"/>
    <w:rsid w:val="00413F83"/>
    <w:rsid w:val="0041490C"/>
    <w:rsid w:val="00416191"/>
    <w:rsid w:val="00416721"/>
    <w:rsid w:val="00421EF0"/>
    <w:rsid w:val="004224FA"/>
    <w:rsid w:val="00423D07"/>
    <w:rsid w:val="00423DEF"/>
    <w:rsid w:val="004255DB"/>
    <w:rsid w:val="00427FDA"/>
    <w:rsid w:val="00436879"/>
    <w:rsid w:val="0044346F"/>
    <w:rsid w:val="0044599F"/>
    <w:rsid w:val="00451E78"/>
    <w:rsid w:val="004575B6"/>
    <w:rsid w:val="0046520A"/>
    <w:rsid w:val="00465651"/>
    <w:rsid w:val="004672AB"/>
    <w:rsid w:val="004714FE"/>
    <w:rsid w:val="00472CCC"/>
    <w:rsid w:val="0047614B"/>
    <w:rsid w:val="00485CDE"/>
    <w:rsid w:val="00495053"/>
    <w:rsid w:val="004968CB"/>
    <w:rsid w:val="004A1137"/>
    <w:rsid w:val="004A1F59"/>
    <w:rsid w:val="004A29BE"/>
    <w:rsid w:val="004A3225"/>
    <w:rsid w:val="004A33EE"/>
    <w:rsid w:val="004A3AA8"/>
    <w:rsid w:val="004B13C7"/>
    <w:rsid w:val="004B3EAD"/>
    <w:rsid w:val="004B778F"/>
    <w:rsid w:val="004C2D7C"/>
    <w:rsid w:val="004C5DD4"/>
    <w:rsid w:val="004D141F"/>
    <w:rsid w:val="004D6310"/>
    <w:rsid w:val="004E0062"/>
    <w:rsid w:val="004E05A1"/>
    <w:rsid w:val="004F469F"/>
    <w:rsid w:val="004F5E57"/>
    <w:rsid w:val="004F6710"/>
    <w:rsid w:val="00502849"/>
    <w:rsid w:val="00504334"/>
    <w:rsid w:val="005104D7"/>
    <w:rsid w:val="00510B9E"/>
    <w:rsid w:val="00531D2C"/>
    <w:rsid w:val="00536BC2"/>
    <w:rsid w:val="005425E1"/>
    <w:rsid w:val="005427C5"/>
    <w:rsid w:val="00542AD0"/>
    <w:rsid w:val="00542CF6"/>
    <w:rsid w:val="00553C03"/>
    <w:rsid w:val="00563692"/>
    <w:rsid w:val="0057100A"/>
    <w:rsid w:val="00571349"/>
    <w:rsid w:val="005908B8"/>
    <w:rsid w:val="0059512E"/>
    <w:rsid w:val="005A6DD2"/>
    <w:rsid w:val="005C385D"/>
    <w:rsid w:val="005D3B20"/>
    <w:rsid w:val="005E5C68"/>
    <w:rsid w:val="005E65C0"/>
    <w:rsid w:val="005E6B38"/>
    <w:rsid w:val="005E7BBA"/>
    <w:rsid w:val="005F01DD"/>
    <w:rsid w:val="005F0390"/>
    <w:rsid w:val="00612023"/>
    <w:rsid w:val="00614190"/>
    <w:rsid w:val="00622A99"/>
    <w:rsid w:val="00622E67"/>
    <w:rsid w:val="00626EDC"/>
    <w:rsid w:val="00643CD8"/>
    <w:rsid w:val="006470EC"/>
    <w:rsid w:val="0065598E"/>
    <w:rsid w:val="00655AF2"/>
    <w:rsid w:val="006568BE"/>
    <w:rsid w:val="0066025D"/>
    <w:rsid w:val="006773EC"/>
    <w:rsid w:val="00680504"/>
    <w:rsid w:val="00681CD9"/>
    <w:rsid w:val="00683E30"/>
    <w:rsid w:val="00687024"/>
    <w:rsid w:val="00696415"/>
    <w:rsid w:val="006B3E0B"/>
    <w:rsid w:val="006C2CEA"/>
    <w:rsid w:val="006D1C18"/>
    <w:rsid w:val="006D3691"/>
    <w:rsid w:val="006E2DCE"/>
    <w:rsid w:val="006E6A40"/>
    <w:rsid w:val="006F3563"/>
    <w:rsid w:val="006F42B9"/>
    <w:rsid w:val="006F6103"/>
    <w:rsid w:val="00704E00"/>
    <w:rsid w:val="007209E7"/>
    <w:rsid w:val="00726182"/>
    <w:rsid w:val="00732329"/>
    <w:rsid w:val="007337CA"/>
    <w:rsid w:val="00734CE4"/>
    <w:rsid w:val="00735123"/>
    <w:rsid w:val="00737550"/>
    <w:rsid w:val="00741837"/>
    <w:rsid w:val="007453E6"/>
    <w:rsid w:val="0075243E"/>
    <w:rsid w:val="007666F5"/>
    <w:rsid w:val="0077309D"/>
    <w:rsid w:val="007774EE"/>
    <w:rsid w:val="00781822"/>
    <w:rsid w:val="00783F21"/>
    <w:rsid w:val="00787159"/>
    <w:rsid w:val="00790603"/>
    <w:rsid w:val="00791668"/>
    <w:rsid w:val="00791AA1"/>
    <w:rsid w:val="007A2C35"/>
    <w:rsid w:val="007A2F6A"/>
    <w:rsid w:val="007A3793"/>
    <w:rsid w:val="007C1BA2"/>
    <w:rsid w:val="007D20E9"/>
    <w:rsid w:val="007D7881"/>
    <w:rsid w:val="007D7E3A"/>
    <w:rsid w:val="007E0E10"/>
    <w:rsid w:val="007E3439"/>
    <w:rsid w:val="007E4768"/>
    <w:rsid w:val="007E5BDD"/>
    <w:rsid w:val="007E777B"/>
    <w:rsid w:val="007F2070"/>
    <w:rsid w:val="008053F5"/>
    <w:rsid w:val="00810198"/>
    <w:rsid w:val="00815DA8"/>
    <w:rsid w:val="0082194D"/>
    <w:rsid w:val="00826EF5"/>
    <w:rsid w:val="00831693"/>
    <w:rsid w:val="00832744"/>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87717"/>
    <w:rsid w:val="009A060A"/>
    <w:rsid w:val="009B0046"/>
    <w:rsid w:val="009C1440"/>
    <w:rsid w:val="009C2107"/>
    <w:rsid w:val="009C5D9E"/>
    <w:rsid w:val="009D2C3E"/>
    <w:rsid w:val="009E0625"/>
    <w:rsid w:val="009E3034"/>
    <w:rsid w:val="009E549F"/>
    <w:rsid w:val="009E57EC"/>
    <w:rsid w:val="009F28A8"/>
    <w:rsid w:val="009F473E"/>
    <w:rsid w:val="009F682A"/>
    <w:rsid w:val="00A022BE"/>
    <w:rsid w:val="00A05FC5"/>
    <w:rsid w:val="00A231D3"/>
    <w:rsid w:val="00A24C95"/>
    <w:rsid w:val="00A254CB"/>
    <w:rsid w:val="00A26094"/>
    <w:rsid w:val="00A301BF"/>
    <w:rsid w:val="00A302B2"/>
    <w:rsid w:val="00A331B4"/>
    <w:rsid w:val="00A3484E"/>
    <w:rsid w:val="00A36ADA"/>
    <w:rsid w:val="00A438D8"/>
    <w:rsid w:val="00A473F5"/>
    <w:rsid w:val="00A51F9D"/>
    <w:rsid w:val="00A5416A"/>
    <w:rsid w:val="00A639F4"/>
    <w:rsid w:val="00A64D27"/>
    <w:rsid w:val="00A81A32"/>
    <w:rsid w:val="00A835BD"/>
    <w:rsid w:val="00A97B15"/>
    <w:rsid w:val="00AA1B17"/>
    <w:rsid w:val="00AA42D5"/>
    <w:rsid w:val="00AB2FAB"/>
    <w:rsid w:val="00AB5C14"/>
    <w:rsid w:val="00AB636C"/>
    <w:rsid w:val="00AC1EE7"/>
    <w:rsid w:val="00AC333F"/>
    <w:rsid w:val="00AC585C"/>
    <w:rsid w:val="00AD1925"/>
    <w:rsid w:val="00AE067D"/>
    <w:rsid w:val="00AE1257"/>
    <w:rsid w:val="00AF1181"/>
    <w:rsid w:val="00AF2F79"/>
    <w:rsid w:val="00AF4653"/>
    <w:rsid w:val="00AF7DB7"/>
    <w:rsid w:val="00B13F45"/>
    <w:rsid w:val="00B42627"/>
    <w:rsid w:val="00B443E4"/>
    <w:rsid w:val="00B44BDD"/>
    <w:rsid w:val="00B563EA"/>
    <w:rsid w:val="00B60E51"/>
    <w:rsid w:val="00B63A54"/>
    <w:rsid w:val="00B77D18"/>
    <w:rsid w:val="00B8092F"/>
    <w:rsid w:val="00B8313A"/>
    <w:rsid w:val="00B83C6B"/>
    <w:rsid w:val="00B93503"/>
    <w:rsid w:val="00BA31E8"/>
    <w:rsid w:val="00BA55E0"/>
    <w:rsid w:val="00BA6BD4"/>
    <w:rsid w:val="00BB2655"/>
    <w:rsid w:val="00BB3752"/>
    <w:rsid w:val="00BB6688"/>
    <w:rsid w:val="00BC26D4"/>
    <w:rsid w:val="00BC5909"/>
    <w:rsid w:val="00BC64F2"/>
    <w:rsid w:val="00BD4303"/>
    <w:rsid w:val="00BD7D5D"/>
    <w:rsid w:val="00BF2A42"/>
    <w:rsid w:val="00BF4CAE"/>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253C"/>
    <w:rsid w:val="00C94840"/>
    <w:rsid w:val="00CA6AC8"/>
    <w:rsid w:val="00CB027F"/>
    <w:rsid w:val="00CC6297"/>
    <w:rsid w:val="00CC7690"/>
    <w:rsid w:val="00CC7EF0"/>
    <w:rsid w:val="00CD1986"/>
    <w:rsid w:val="00CE4D5C"/>
    <w:rsid w:val="00CF05DA"/>
    <w:rsid w:val="00CF58EB"/>
    <w:rsid w:val="00CF616C"/>
    <w:rsid w:val="00CF7844"/>
    <w:rsid w:val="00D0106E"/>
    <w:rsid w:val="00D06383"/>
    <w:rsid w:val="00D13755"/>
    <w:rsid w:val="00D20E85"/>
    <w:rsid w:val="00D24615"/>
    <w:rsid w:val="00D27557"/>
    <w:rsid w:val="00D37842"/>
    <w:rsid w:val="00D42DC2"/>
    <w:rsid w:val="00D537E1"/>
    <w:rsid w:val="00D55BB2"/>
    <w:rsid w:val="00D60100"/>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3FF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C4B15"/>
    <w:rsid w:val="00ED03AB"/>
    <w:rsid w:val="00ED0CAC"/>
    <w:rsid w:val="00ED1CD4"/>
    <w:rsid w:val="00ED1D2B"/>
    <w:rsid w:val="00ED5A8D"/>
    <w:rsid w:val="00ED64B5"/>
    <w:rsid w:val="00EE7CCA"/>
    <w:rsid w:val="00F16A14"/>
    <w:rsid w:val="00F231DC"/>
    <w:rsid w:val="00F362D7"/>
    <w:rsid w:val="00F37D7B"/>
    <w:rsid w:val="00F520CF"/>
    <w:rsid w:val="00F5314C"/>
    <w:rsid w:val="00F635DD"/>
    <w:rsid w:val="00F6627B"/>
    <w:rsid w:val="00F734F2"/>
    <w:rsid w:val="00F75052"/>
    <w:rsid w:val="00F804D3"/>
    <w:rsid w:val="00F81CD2"/>
    <w:rsid w:val="00F82641"/>
    <w:rsid w:val="00F908A0"/>
    <w:rsid w:val="00F90F18"/>
    <w:rsid w:val="00F937E4"/>
    <w:rsid w:val="00F95EE7"/>
    <w:rsid w:val="00FA3570"/>
    <w:rsid w:val="00FA39E6"/>
    <w:rsid w:val="00FA7BC9"/>
    <w:rsid w:val="00FB378E"/>
    <w:rsid w:val="00FB37F1"/>
    <w:rsid w:val="00FB47C0"/>
    <w:rsid w:val="00FB501B"/>
    <w:rsid w:val="00FB7770"/>
    <w:rsid w:val="00FD3B91"/>
    <w:rsid w:val="00FD576B"/>
    <w:rsid w:val="00FD579E"/>
    <w:rsid w:val="00FE4516"/>
    <w:rsid w:val="00FF0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4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aliases w:val="12 20,List Paragraph,標1,標11,標12,1.1.1.1清單段落,標題 (4),(二),列點,清單段落2,1.1,參考文獻"/>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CF616C"/>
    <w:pPr>
      <w:snapToGrid w:val="0"/>
      <w:jc w:val="left"/>
    </w:pPr>
    <w:rPr>
      <w:sz w:val="20"/>
    </w:rPr>
  </w:style>
  <w:style w:type="character" w:customStyle="1" w:styleId="afc">
    <w:name w:val="註腳文字 字元"/>
    <w:basedOn w:val="a7"/>
    <w:link w:val="afb"/>
    <w:uiPriority w:val="99"/>
    <w:semiHidden/>
    <w:rsid w:val="00CF616C"/>
    <w:rPr>
      <w:rFonts w:ascii="標楷體" w:eastAsia="標楷體"/>
      <w:kern w:val="2"/>
    </w:rPr>
  </w:style>
  <w:style w:type="character" w:styleId="afd">
    <w:name w:val="footnote reference"/>
    <w:basedOn w:val="a7"/>
    <w:uiPriority w:val="99"/>
    <w:semiHidden/>
    <w:unhideWhenUsed/>
    <w:rsid w:val="00CF616C"/>
    <w:rPr>
      <w:vertAlign w:val="superscript"/>
    </w:rPr>
  </w:style>
  <w:style w:type="character" w:customStyle="1" w:styleId="af8">
    <w:name w:val="清單段落 字元"/>
    <w:aliases w:val="12 20 字元,List Paragraph 字元,標1 字元,標11 字元,標12 字元,1.1.1.1清單段落 字元,標題 (4) 字元,(二) 字元,列點 字元,清單段落2 字元,1.1 字元,參考文獻 字元"/>
    <w:link w:val="af7"/>
    <w:uiPriority w:val="34"/>
    <w:locked/>
    <w:rsid w:val="004B3EAD"/>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w.news.yahoo.com/%E6%95%99%E9%83%A8%E9%80%9A%E9%81%8E%E5%90%B3%E5%AF%B6%E6%98%A5%E6%A2%9D%E6%AC%BE-161009694.html" TargetMode="External"/><Relationship Id="rId1" Type="http://schemas.openxmlformats.org/officeDocument/2006/relationships/hyperlink" Target="https://depart.moe.edu.tw/ED2200/News_Content.aspx?n=90774906111B0527&amp;sms=F0EAFEB716DE7FFA&amp;s=6261203928352B8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82BE9-954C-4CBC-B641-6360349F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1435</Words>
  <Characters>8183</Characters>
  <Application>Microsoft Office Word</Application>
  <DocSecurity>0</DocSecurity>
  <Lines>68</Lines>
  <Paragraphs>19</Paragraphs>
  <ScaleCrop>false</ScaleCrop>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2023-06-19T03:39:00Z</dcterms:created>
  <dcterms:modified xsi:type="dcterms:W3CDTF">2023-06-19T03:39:00Z</dcterms:modified>
</cp:coreProperties>
</file>